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2136" w:rsidRDefault="00D02136" w:rsidP="00D02136">
      <w:pPr>
        <w:jc w:val="center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ПИРОВСКОГО МУНИЦИПАЛЬНОГО ОКРУГА</w:t>
      </w:r>
    </w:p>
    <w:p w:rsidR="00D02136" w:rsidRDefault="00D02136" w:rsidP="00D02136">
      <w:pPr>
        <w:jc w:val="center"/>
        <w:rPr>
          <w:b/>
          <w:sz w:val="28"/>
          <w:szCs w:val="28"/>
        </w:rPr>
      </w:pPr>
    </w:p>
    <w:p w:rsidR="00D02136" w:rsidRDefault="00D02136" w:rsidP="00D02136">
      <w:pPr>
        <w:jc w:val="center"/>
        <w:rPr>
          <w:b/>
          <w:sz w:val="28"/>
          <w:szCs w:val="28"/>
        </w:rPr>
      </w:pPr>
    </w:p>
    <w:p w:rsidR="00D02136" w:rsidRPr="00E90ECF" w:rsidRDefault="00F82FAC" w:rsidP="00D02136">
      <w:pPr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ПРЕСС-РЕЛИЗ -2</w:t>
      </w:r>
      <w:r w:rsidR="007E7D13">
        <w:rPr>
          <w:b/>
          <w:color w:val="2E74B5" w:themeColor="accent1" w:themeShade="BF"/>
          <w:sz w:val="28"/>
          <w:szCs w:val="28"/>
        </w:rPr>
        <w:t>6</w:t>
      </w:r>
      <w:r>
        <w:rPr>
          <w:b/>
          <w:color w:val="2E74B5" w:themeColor="accent1" w:themeShade="BF"/>
          <w:sz w:val="28"/>
          <w:szCs w:val="28"/>
        </w:rPr>
        <w:t>.0</w:t>
      </w:r>
      <w:r w:rsidR="007E7D13">
        <w:rPr>
          <w:b/>
          <w:color w:val="2E74B5" w:themeColor="accent1" w:themeShade="BF"/>
          <w:sz w:val="28"/>
          <w:szCs w:val="28"/>
        </w:rPr>
        <w:t>4</w:t>
      </w:r>
      <w:bookmarkStart w:id="0" w:name="_GoBack"/>
      <w:bookmarkEnd w:id="0"/>
      <w:r w:rsidR="00724F40">
        <w:rPr>
          <w:b/>
          <w:color w:val="2E74B5" w:themeColor="accent1" w:themeShade="BF"/>
          <w:sz w:val="28"/>
          <w:szCs w:val="28"/>
        </w:rPr>
        <w:t>.</w:t>
      </w:r>
      <w:r w:rsidR="00D12DC9">
        <w:rPr>
          <w:b/>
          <w:color w:val="2E74B5" w:themeColor="accent1" w:themeShade="BF"/>
          <w:sz w:val="28"/>
          <w:szCs w:val="28"/>
        </w:rPr>
        <w:t>2023</w:t>
      </w:r>
    </w:p>
    <w:p w:rsidR="00D02136" w:rsidRDefault="00D02136" w:rsidP="00D02136">
      <w:pPr>
        <w:shd w:val="clear" w:color="auto" w:fill="FFFFFF"/>
        <w:outlineLvl w:val="0"/>
        <w:rPr>
          <w:rFonts w:ascii="Tahoma" w:hAnsi="Tahoma" w:cs="Tahoma"/>
          <w:b/>
          <w:bCs/>
          <w:color w:val="336699"/>
          <w:kern w:val="36"/>
          <w:sz w:val="30"/>
          <w:szCs w:val="30"/>
        </w:rPr>
      </w:pPr>
    </w:p>
    <w:p w:rsidR="007E7D13" w:rsidRDefault="007E7D13" w:rsidP="007E7D13">
      <w:pPr>
        <w:pStyle w:val="1"/>
        <w:shd w:val="clear" w:color="auto" w:fill="FFFFFF"/>
        <w:spacing w:before="0" w:beforeAutospacing="0" w:after="0" w:afterAutospacing="0"/>
        <w:rPr>
          <w:rFonts w:ascii="Tahoma" w:hAnsi="Tahoma" w:cs="Tahoma"/>
          <w:color w:val="336699"/>
          <w:sz w:val="30"/>
          <w:szCs w:val="30"/>
        </w:rPr>
      </w:pPr>
      <w:r>
        <w:rPr>
          <w:rFonts w:ascii="Tahoma" w:hAnsi="Tahoma" w:cs="Tahoma"/>
          <w:color w:val="336699"/>
          <w:sz w:val="30"/>
          <w:szCs w:val="30"/>
        </w:rPr>
        <w:t>Об уточнении перечня объектов, не подлежащих оснащению приборами учета используемых энергетических ресурсов</w:t>
      </w:r>
    </w:p>
    <w:p w:rsidR="007E7D13" w:rsidRDefault="007E7D13" w:rsidP="007E7D13">
      <w:pPr>
        <w:pStyle w:val="a5"/>
        <w:shd w:val="clear" w:color="auto" w:fill="FFFFFF"/>
        <w:spacing w:before="0" w:beforeAutospacing="0" w:after="24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    Напоминаем, что в соответствии с требованиями ч. 1 ст. 13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– Федеральный закон № 261) производимые, передаваемые, потребляемые энергетические ресурсы подлежат обязательному учету с применением приборов учета.</w:t>
      </w:r>
      <w:r>
        <w:rPr>
          <w:rFonts w:ascii="Tahoma" w:hAnsi="Tahoma" w:cs="Tahoma"/>
          <w:color w:val="333333"/>
        </w:rPr>
        <w:br/>
        <w:t>    Указанные требования распространяются на объекты, подключенные к:</w:t>
      </w:r>
      <w:r>
        <w:rPr>
          <w:rFonts w:ascii="Tahoma" w:hAnsi="Tahoma" w:cs="Tahoma"/>
          <w:color w:val="333333"/>
        </w:rPr>
        <w:br/>
        <w:t>    электрическим сетям централизованного электроснабжения;</w:t>
      </w:r>
      <w:r>
        <w:rPr>
          <w:rFonts w:ascii="Tahoma" w:hAnsi="Tahoma" w:cs="Tahoma"/>
          <w:color w:val="333333"/>
        </w:rPr>
        <w:br/>
        <w:t>    системам централизованного теплоснабжения;</w:t>
      </w:r>
      <w:r>
        <w:rPr>
          <w:rFonts w:ascii="Tahoma" w:hAnsi="Tahoma" w:cs="Tahoma"/>
          <w:color w:val="333333"/>
        </w:rPr>
        <w:br/>
        <w:t>    системам централизованного водоснабжения;</w:t>
      </w:r>
      <w:r>
        <w:rPr>
          <w:rFonts w:ascii="Tahoma" w:hAnsi="Tahoma" w:cs="Tahoma"/>
          <w:color w:val="333333"/>
        </w:rPr>
        <w:br/>
        <w:t>    системам централизованного газоснабжения;</w:t>
      </w:r>
      <w:r>
        <w:rPr>
          <w:rFonts w:ascii="Tahoma" w:hAnsi="Tahoma" w:cs="Tahoma"/>
          <w:color w:val="333333"/>
        </w:rPr>
        <w:br/>
        <w:t>    иным системам централизованного снабжения энергетическими ресурсами.</w:t>
      </w:r>
      <w:r>
        <w:rPr>
          <w:rFonts w:ascii="Tahoma" w:hAnsi="Tahoma" w:cs="Tahoma"/>
          <w:color w:val="333333"/>
        </w:rPr>
        <w:br/>
        <w:t>    Исполнение требований в части организации учета используемых энергетических ресурсов применительно к объектам, подключенным к системам централизованного снабжения соответствующим энергетическим ресурсом, должно обеспечивать учет ресурсов:</w:t>
      </w:r>
      <w:r>
        <w:rPr>
          <w:rFonts w:ascii="Tahoma" w:hAnsi="Tahoma" w:cs="Tahoma"/>
          <w:color w:val="333333"/>
        </w:rPr>
        <w:br/>
        <w:t>    в местах подключения указанных объектов к таким системам;</w:t>
      </w:r>
      <w:r>
        <w:rPr>
          <w:rFonts w:ascii="Tahoma" w:hAnsi="Tahoma" w:cs="Tahoma"/>
          <w:color w:val="333333"/>
        </w:rPr>
        <w:br/>
        <w:t>    применительно к объектам, используемым для передачи энергетических ресурсов – в местах подключения смежных объектов, используемых для передачи энергетических ресурсов и принадлежащих на праве собственности или ином предусмотренном законодательством РФ основании разным лицам.</w:t>
      </w:r>
    </w:p>
    <w:p w:rsidR="007E7D13" w:rsidRDefault="007E7D13" w:rsidP="007E7D13">
      <w:pPr>
        <w:pStyle w:val="a5"/>
        <w:shd w:val="clear" w:color="auto" w:fill="FFFFFF"/>
        <w:spacing w:before="0" w:beforeAutospacing="0" w:after="24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    В ч. 1 ст. 13 Федерального закона № 261 содержатся положения, что вышеприведенные требования не распространяются на:</w:t>
      </w:r>
      <w:r>
        <w:rPr>
          <w:rFonts w:ascii="Tahoma" w:hAnsi="Tahoma" w:cs="Tahoma"/>
          <w:color w:val="333333"/>
        </w:rPr>
        <w:br/>
        <w:t>    ветхие, аварийные объекты;</w:t>
      </w:r>
      <w:r>
        <w:rPr>
          <w:rFonts w:ascii="Tahoma" w:hAnsi="Tahoma" w:cs="Tahoma"/>
          <w:color w:val="333333"/>
        </w:rPr>
        <w:br/>
        <w:t>    объекты, не являющиеся многоквартирными домами, подлежащие сносу или капитальному ремонту;</w:t>
      </w:r>
      <w:r>
        <w:rPr>
          <w:rFonts w:ascii="Tahoma" w:hAnsi="Tahoma" w:cs="Tahoma"/>
          <w:color w:val="333333"/>
        </w:rPr>
        <w:br/>
        <w:t>    объекты, максимальный объем потребления природного газа которых составляет менее чем два кубических метра в час (в отношении организации учета используемого природного газа);</w:t>
      </w:r>
      <w:r>
        <w:rPr>
          <w:rFonts w:ascii="Tahoma" w:hAnsi="Tahoma" w:cs="Tahoma"/>
          <w:color w:val="333333"/>
        </w:rPr>
        <w:br/>
        <w:t>    многоквартирные дома, физический износ основных конструктивных элементов которых превышает 70 % и которые не включены в региональные программы капитального ремонта общего имущества в многоквартирных домах в связи с принятием нормативным правовым актом субъекта РФ решения об их сносе или реконструкции;</w:t>
      </w:r>
      <w:r>
        <w:rPr>
          <w:rFonts w:ascii="Tahoma" w:hAnsi="Tahoma" w:cs="Tahoma"/>
          <w:color w:val="333333"/>
        </w:rPr>
        <w:br/>
        <w:t>    многоквартирные дома, которые включены в программу реновации жилищного фонда и в которых мероприятия должны быть реализованы в течение 3 лет.</w:t>
      </w:r>
    </w:p>
    <w:p w:rsidR="007E7D13" w:rsidRDefault="007E7D13" w:rsidP="007E7D13">
      <w:pPr>
        <w:pStyle w:val="a5"/>
        <w:shd w:val="clear" w:color="auto" w:fill="FFFFFF"/>
        <w:spacing w:before="0" w:beforeAutospacing="0" w:after="24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lastRenderedPageBreak/>
        <w:t>    </w:t>
      </w:r>
      <w:hyperlink r:id="rId6" w:tgtFrame="_blank" w:history="1">
        <w:r>
          <w:rPr>
            <w:rStyle w:val="a7"/>
            <w:rFonts w:ascii="Tahoma" w:hAnsi="Tahoma" w:cs="Tahoma"/>
            <w:b/>
            <w:bCs/>
            <w:color w:val="3862DA"/>
          </w:rPr>
          <w:t>Федеральным законом от 14.04.2023 № 133-ФЗ</w:t>
        </w:r>
      </w:hyperlink>
      <w:r>
        <w:rPr>
          <w:rFonts w:ascii="Tahoma" w:hAnsi="Tahoma" w:cs="Tahoma"/>
          <w:color w:val="333333"/>
        </w:rPr>
        <w:t> «О внесении изменения в статью 13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 (далее – Федеральный закон № 133) внесены изменения в ч. 1 ст. 13 Федерального закона № 261, которыми перечень объектов, не подлежащих оснащению приборами учета используемых энергетических ресурсов, дополнен многоквартирными домами, включенными в региональные программы капитального ремонта общего имущества в многоквартирных домах, работы по капитальному ремонту общего имущества в которых на основании нормативного правового акта субъекта РФ включают в себя:</w:t>
      </w:r>
      <w:r>
        <w:rPr>
          <w:rFonts w:ascii="Tahoma" w:hAnsi="Tahoma" w:cs="Tahoma"/>
          <w:color w:val="333333"/>
        </w:rPr>
        <w:br/>
        <w:t>    работы по замене и (или) восстановлению инженерных сетей многоквартирного дома;</w:t>
      </w:r>
      <w:r>
        <w:rPr>
          <w:rFonts w:ascii="Tahoma" w:hAnsi="Tahoma" w:cs="Tahoma"/>
          <w:color w:val="333333"/>
        </w:rPr>
        <w:br/>
        <w:t>    услуги и (или) работы по установке автоматизированных информационно-измерительных систем учета потребления коммунальных ресурсов и коммунальных услуг, установке общедомовых приборов учета и узлов управления и регулирования потребления коммунальных ресурсов (тепловой энергии, горячей и холодной воды, газа), и которые должны быть реализованы в соответствии с указанными программами в течение 3 лет.</w:t>
      </w:r>
    </w:p>
    <w:p w:rsidR="007E7D13" w:rsidRDefault="007E7D13" w:rsidP="007E7D13">
      <w:pPr>
        <w:pStyle w:val="a5"/>
        <w:shd w:val="clear" w:color="auto" w:fill="FFFFFF"/>
        <w:spacing w:before="0" w:beforeAutospacing="0" w:after="240" w:afterAutospacing="0"/>
        <w:jc w:val="center"/>
        <w:rPr>
          <w:rFonts w:ascii="Tahoma" w:hAnsi="Tahoma" w:cs="Tahoma"/>
          <w:color w:val="333333"/>
        </w:rPr>
      </w:pPr>
      <w:r>
        <w:rPr>
          <w:rStyle w:val="a7"/>
          <w:rFonts w:ascii="Tahoma" w:hAnsi="Tahoma" w:cs="Tahoma"/>
          <w:b/>
          <w:bCs/>
          <w:color w:val="333333"/>
        </w:rPr>
        <w:t>!!! Федеральный закон № 133 вступил в силу 14.04.2023</w:t>
      </w:r>
    </w:p>
    <w:p w:rsidR="007E7D13" w:rsidRDefault="007E7D13" w:rsidP="007E7D13">
      <w:pPr>
        <w:pStyle w:val="a5"/>
        <w:shd w:val="clear" w:color="auto" w:fill="FFFFFF"/>
        <w:spacing w:before="0" w:beforeAutospacing="0" w:after="240" w:afterAutospacing="0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    Ст. 2 Федерального закона № 133 определено, что положения, внесенные Федеральным </w:t>
      </w:r>
      <w:proofErr w:type="gramStart"/>
      <w:r>
        <w:rPr>
          <w:rFonts w:ascii="Tahoma" w:hAnsi="Tahoma" w:cs="Tahoma"/>
          <w:color w:val="333333"/>
        </w:rPr>
        <w:t>законом  №</w:t>
      </w:r>
      <w:proofErr w:type="gramEnd"/>
      <w:r>
        <w:rPr>
          <w:rFonts w:ascii="Tahoma" w:hAnsi="Tahoma" w:cs="Tahoma"/>
          <w:color w:val="333333"/>
        </w:rPr>
        <w:t xml:space="preserve"> 133 в ч. 1 ст. 13 Федерального закона № 261, распространяют свое действие на многоквартирные дома, включенные в региональную программу капитального ремонта общего имущества в многоквартирных домах до дня вступления в силу Федерального закона № 133.</w:t>
      </w:r>
    </w:p>
    <w:p w:rsidR="00365417" w:rsidRPr="006C41F2" w:rsidRDefault="00365417" w:rsidP="00F82FAC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365417" w:rsidRPr="006C41F2" w:rsidSect="006C41F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001DA"/>
    <w:multiLevelType w:val="multilevel"/>
    <w:tmpl w:val="4EF4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74FE9"/>
    <w:multiLevelType w:val="multilevel"/>
    <w:tmpl w:val="E4DA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275B0"/>
    <w:multiLevelType w:val="multilevel"/>
    <w:tmpl w:val="4D00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6190A"/>
    <w:multiLevelType w:val="multilevel"/>
    <w:tmpl w:val="889A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C9284C"/>
    <w:multiLevelType w:val="multilevel"/>
    <w:tmpl w:val="6AB6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A3060A"/>
    <w:multiLevelType w:val="hybridMultilevel"/>
    <w:tmpl w:val="1AB04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F14C1"/>
    <w:multiLevelType w:val="multilevel"/>
    <w:tmpl w:val="DF2A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94686B"/>
    <w:multiLevelType w:val="multilevel"/>
    <w:tmpl w:val="3690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8A35DB"/>
    <w:multiLevelType w:val="multilevel"/>
    <w:tmpl w:val="AA18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28"/>
    <w:rsid w:val="000E76EA"/>
    <w:rsid w:val="00365417"/>
    <w:rsid w:val="00440A7B"/>
    <w:rsid w:val="00561896"/>
    <w:rsid w:val="006C41F2"/>
    <w:rsid w:val="00724F40"/>
    <w:rsid w:val="00792028"/>
    <w:rsid w:val="007A3A9E"/>
    <w:rsid w:val="007E7D13"/>
    <w:rsid w:val="00AF0C2A"/>
    <w:rsid w:val="00BB49BB"/>
    <w:rsid w:val="00C854A7"/>
    <w:rsid w:val="00D02136"/>
    <w:rsid w:val="00D12B6F"/>
    <w:rsid w:val="00D12DC9"/>
    <w:rsid w:val="00E403F9"/>
    <w:rsid w:val="00E63E88"/>
    <w:rsid w:val="00E90ECF"/>
    <w:rsid w:val="00ED23FF"/>
    <w:rsid w:val="00F46502"/>
    <w:rsid w:val="00F82FAC"/>
    <w:rsid w:val="00FF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84346"/>
  <w15:chartTrackingRefBased/>
  <w15:docId w15:val="{A384C996-E780-410D-BB2A-ACF03DE4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21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02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20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2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0213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02136"/>
    <w:rPr>
      <w:color w:val="0000FF"/>
      <w:u w:val="single"/>
    </w:rPr>
  </w:style>
  <w:style w:type="character" w:styleId="a7">
    <w:name w:val="Emphasis"/>
    <w:basedOn w:val="a0"/>
    <w:uiPriority w:val="20"/>
    <w:qFormat/>
    <w:rsid w:val="00D02136"/>
    <w:rPr>
      <w:i/>
      <w:iCs/>
    </w:rPr>
  </w:style>
  <w:style w:type="paragraph" w:styleId="a8">
    <w:name w:val="List Paragraph"/>
    <w:basedOn w:val="a"/>
    <w:uiPriority w:val="34"/>
    <w:qFormat/>
    <w:rsid w:val="007A3A9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B49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No Spacing"/>
    <w:uiPriority w:val="1"/>
    <w:qFormat/>
    <w:rsid w:val="00F46502"/>
    <w:pPr>
      <w:spacing w:after="0" w:line="240" w:lineRule="auto"/>
    </w:pPr>
  </w:style>
  <w:style w:type="character" w:styleId="aa">
    <w:name w:val="Strong"/>
    <w:basedOn w:val="a0"/>
    <w:uiPriority w:val="22"/>
    <w:qFormat/>
    <w:rsid w:val="00C854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kh24.ru/upload/file/133_fz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А.В.</dc:creator>
  <cp:keywords/>
  <dc:description/>
  <cp:lastModifiedBy>Professional</cp:lastModifiedBy>
  <cp:revision>2</cp:revision>
  <cp:lastPrinted>2021-11-11T01:48:00Z</cp:lastPrinted>
  <dcterms:created xsi:type="dcterms:W3CDTF">2023-04-26T01:51:00Z</dcterms:created>
  <dcterms:modified xsi:type="dcterms:W3CDTF">2023-04-26T01:51:00Z</dcterms:modified>
</cp:coreProperties>
</file>