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9B" w:rsidRPr="00537A9B" w:rsidRDefault="00537A9B" w:rsidP="00537A9B">
      <w:pPr>
        <w:shd w:val="clear" w:color="auto" w:fill="FFFFFF"/>
        <w:spacing w:before="300" w:line="240" w:lineRule="auto"/>
        <w:outlineLvl w:val="0"/>
        <w:rPr>
          <w:rFonts w:ascii="Arial" w:eastAsia="Times New Roman" w:hAnsi="Arial" w:cs="Arial"/>
          <w:b/>
          <w:color w:val="5D6489"/>
          <w:kern w:val="36"/>
          <w:sz w:val="24"/>
          <w:szCs w:val="24"/>
          <w:lang w:eastAsia="ru-RU"/>
        </w:rPr>
      </w:pPr>
      <w:bookmarkStart w:id="0" w:name="_GoBack"/>
      <w:bookmarkEnd w:id="0"/>
      <w:r w:rsidRPr="00537A9B">
        <w:rPr>
          <w:rFonts w:ascii="Arial" w:eastAsia="Times New Roman" w:hAnsi="Arial" w:cs="Arial"/>
          <w:b/>
          <w:color w:val="5D6489"/>
          <w:kern w:val="36"/>
          <w:sz w:val="24"/>
          <w:szCs w:val="24"/>
          <w:lang w:eastAsia="ru-RU"/>
        </w:rPr>
        <w:t>Кто контролирует деятельность управляющих компаний в сфере ЖКХ и как проверить УК?</w:t>
      </w:r>
    </w:p>
    <w:p w:rsidR="00537A9B" w:rsidRPr="00537A9B" w:rsidRDefault="00537A9B" w:rsidP="00537A9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Контроль и учет – основные составляющие государственного управления. Законодательно обосновать производственную и иную деятельность организаций для ее эффективной работы не достаточно.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Нужно еще и контролировать, как выполняются те или иные законодательные нормы, как организована работа, соответствуют ли действия, в нашем случае управляющих компаний, установленным требованиям.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Именно деятельность УК особенно важно контролировать и направлять в нужную сторону, ведь они работают в самой сложной и социально значимой сфере – жилищно-коммунальном хозяйстве.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Кто контролирует и проверяет деятельность управляющих компаний?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УК, как социально значимую организацию, контролируют сразу несколько государственных органов.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Прокуратура — осуществляет контроль за соблюдением требований закона всеми структурами и организациями государства.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spell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Роспотребнадзор</w:t>
      </w:r>
      <w:proofErr w:type="spell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и ГЖИ осуществляют контроль и проверку деятельности управляющих компаний, как на региональном уровне, так и на местном. Контролируют УК так же и органы самоуправления.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bookmarkStart w:id="1" w:name="na-regional-nom-urovne?utm_source=table_"/>
      <w:bookmarkEnd w:id="1"/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На региональном уровне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На местах </w:t>
      </w:r>
      <w:proofErr w:type="spellStart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Госжилнадзор</w:t>
      </w:r>
      <w:proofErr w:type="spellEnd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 xml:space="preserve"> чаще всего называется жилищной инспекцией, которая проверяет такие нюансы: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используется и содержится жилье и общедомовое имущество;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переводятся нежилые помещения в жилые и наоборот;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жилье признается негодным для проживания, аварийным, под снос, реконструкцию, соответствие подобных признаний действующему законодательству;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ведется учет жилья;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проводятся перепланировки и переустройства;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определяется общее имущество владельцев жилья в доме, его состав и содержание;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проводится управление домом или домами;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предоставляются услуги по ремонту и содержанию, соответствуют ли они требованиям закона;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устанавливается плата за обслуживание (ремонт и содержание), ее размер;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раскрывается информация УК, соответствует ли она установленным стандартам;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предоставляются коммунальные услуги и каким способом определяется их величина и стоимость;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устанавливается </w:t>
      </w:r>
      <w:proofErr w:type="spell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энергоэффективность</w:t>
      </w:r>
      <w:proofErr w:type="spell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 приборы учета, как они эксплуатируются, как учитываются ресурсы;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lastRenderedPageBreak/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составляются, заключаются и выполняются договора на предоставление услуг, обслуживание, ремонт и т.д., как они выполняются;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формируются фонды на ремонт, в частности, капитальный и каким образом они расходуются;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соблюдаются обязательные требования в отношении сохранности жилья, его использования.</w:t>
      </w:r>
    </w:p>
    <w:p w:rsidR="00537A9B" w:rsidRPr="00537A9B" w:rsidRDefault="00537A9B" w:rsidP="00537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как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выполняются лицензионные требования.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Контроль ГЖИ над деятельностью осуществляется путем проверок.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 Проверка может быть или документальная или с выездом на место.</w:t>
      </w:r>
    </w:p>
    <w:p w:rsidR="00537A9B" w:rsidRPr="00537A9B" w:rsidRDefault="00537A9B" w:rsidP="00537A9B">
      <w:pPr>
        <w:spacing w:line="240" w:lineRule="auto"/>
        <w:rPr>
          <w:rFonts w:ascii="Arial" w:eastAsia="Times New Roman" w:hAnsi="Arial" w:cs="Arial"/>
          <w:color w:val="3B3A52"/>
          <w:sz w:val="24"/>
          <w:szCs w:val="24"/>
          <w:lang w:eastAsia="ru-RU"/>
        </w:rPr>
      </w:pPr>
      <w:proofErr w:type="spellStart"/>
      <w:r w:rsidRPr="00537A9B">
        <w:rPr>
          <w:rFonts w:ascii="Arial" w:eastAsia="Times New Roman" w:hAnsi="Arial" w:cs="Arial"/>
          <w:b/>
          <w:bCs/>
          <w:color w:val="3B3A52"/>
          <w:sz w:val="24"/>
          <w:szCs w:val="24"/>
          <w:lang w:eastAsia="ru-RU"/>
        </w:rPr>
        <w:t>Обра</w:t>
      </w:r>
      <w:proofErr w:type="spellEnd"/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 xml:space="preserve">Работа </w:t>
      </w:r>
      <w:proofErr w:type="spellStart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Госжилнадзора</w:t>
      </w:r>
      <w:proofErr w:type="spellEnd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 xml:space="preserve"> (</w:t>
      </w:r>
      <w:proofErr w:type="spellStart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жилинспекции</w:t>
      </w:r>
      <w:proofErr w:type="spellEnd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) регламентируется:</w:t>
      </w:r>
    </w:p>
    <w:p w:rsidR="00537A9B" w:rsidRPr="00537A9B" w:rsidRDefault="00537A9B" w:rsidP="00537A9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 отношении лицензионного контроля — </w:t>
      </w:r>
      <w:hyperlink r:id="rId5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ЖК, статьей 196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 отношении предоставления коммунальных услуг – </w:t>
      </w:r>
      <w:hyperlink r:id="rId6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Правилами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 их предоставления, утвержденных </w:t>
      </w:r>
      <w:hyperlink r:id="rId7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ПП №354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 остальных случаях – ЖК РФ, статьей 196, статьями </w:t>
      </w:r>
      <w:hyperlink r:id="rId8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13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 и </w:t>
      </w:r>
      <w:hyperlink r:id="rId9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20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10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 xml:space="preserve">Постановлением Правительства №493 «О </w:t>
        </w:r>
        <w:proofErr w:type="spellStart"/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Госжилнадзоре</w:t>
        </w:r>
        <w:proofErr w:type="spellEnd"/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» от 11 июня 2013 года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Следующая инстанция, осуществляющая проверку — это прокуратура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 которая проверяет управляющие компании только при наличии соответствующих оснований. Обычно ими являются обращения жильцов или конкурентов, освещение каких-либо противоправных действий УК в СМИ.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Иногда она санкционируется органами местного самоуправления или же проводится по инициативе прокурора.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Согласно </w:t>
      </w:r>
      <w:hyperlink r:id="rId11" w:tgtFrame="_blank" w:history="1">
        <w:r w:rsidRPr="00537A9B">
          <w:rPr>
            <w:rFonts w:ascii="Arial" w:eastAsia="Times New Roman" w:hAnsi="Arial" w:cs="Arial"/>
            <w:b/>
            <w:bCs/>
            <w:color w:val="638ABB"/>
            <w:sz w:val="24"/>
            <w:szCs w:val="24"/>
            <w:u w:val="single"/>
            <w:lang w:eastAsia="ru-RU"/>
          </w:rPr>
          <w:t>ст. 22 ФЗ 2202-1</w:t>
        </w:r>
      </w:hyperlink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, сотрудники прокуратуры имеют право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:</w:t>
      </w:r>
    </w:p>
    <w:p w:rsidR="00537A9B" w:rsidRPr="00537A9B" w:rsidRDefault="00537A9B" w:rsidP="00537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просматривать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любую документацию, а также анализировать ее;</w:t>
      </w:r>
    </w:p>
    <w:p w:rsidR="00537A9B" w:rsidRPr="00537A9B" w:rsidRDefault="00537A9B" w:rsidP="00537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свободно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входить на территорию УК после предъявления удостоверения;</w:t>
      </w:r>
    </w:p>
    <w:p w:rsidR="00537A9B" w:rsidRPr="00537A9B" w:rsidRDefault="00537A9B" w:rsidP="00537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proofErr w:type="gram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привлекать</w:t>
      </w:r>
      <w:proofErr w:type="gram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к участию в процедуре проверки госслужащих.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Проверка проводится без предварительного предупреждения. После обращения на нее дается месяц, в течение которого прокуратура должна известить о результатах заявителя.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 случае угрозы жизни и здоровью граждан в связи с деятельностью организации сроки могут сократиться вплоть до 1 суток.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Еще один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контролирующий орган управляющих компаний – комитет по тарифам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 Выполнять его функции могут и некоторые министерства, например, министерство энергетики региона.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 ведении комитета находятся: тарифы на энергоресурсы, их установление и нормативы использования, контроль над тарифами, раскрытием информации УК. В своей работе комитет по тарифам руководствуется положениями Жилищного Кодекса РФ и </w:t>
      </w:r>
      <w:hyperlink r:id="rId12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 xml:space="preserve">ФЗ № 261-ФЗ от 2009 года </w:t>
        </w:r>
        <w:proofErr w:type="gramStart"/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« Об</w:t>
        </w:r>
        <w:proofErr w:type="gramEnd"/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 xml:space="preserve"> энергоснабжении»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 xml:space="preserve">Контроль за деятельностью управляющих компаний осуществляет и </w:t>
      </w:r>
      <w:proofErr w:type="spellStart"/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Роспотребнадзор</w:t>
      </w:r>
      <w:proofErr w:type="spell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. Он контролирует, как исполняются нормы, в том числе 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lastRenderedPageBreak/>
        <w:t>санитарные, законодательства, которые определяют предоставление услуг собственникам жилья, их качество и безопасность.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Деятельность его регламентируется </w:t>
      </w:r>
      <w:hyperlink r:id="rId13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Законом «О защите прав потребителя»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 санитарными, эпидемиологическим нормами, а так же правилами, КоАП, статьями </w:t>
      </w:r>
      <w:hyperlink r:id="rId14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6.4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15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6.5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16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6.24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17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14.6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18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14.7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19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14.8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, </w:t>
      </w:r>
      <w:hyperlink r:id="rId20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14.24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Контроль осуществляется над коммунальными услугами, их предоставлением и качеством. Исследуются вода на наличие примесей и микроорганизмов, микроклимат в жилье, уборка мусора, состояние вентиляций, ценообразование на предоставляемые услуги и тому подобное.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bookmarkStart w:id="2" w:name="na-mestnom-urovne?utm_source=table_of_co"/>
      <w:bookmarkEnd w:id="2"/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На местном уровне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На местах,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работу управляющих компаний ЖКХ контролируют муниципалитеты и органы самоуправления в лице жилищной инспекции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. В основном, они дублируют функции регионального </w:t>
      </w:r>
      <w:proofErr w:type="spell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Госжилнадзора</w:t>
      </w:r>
      <w:proofErr w:type="spell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 своей деятельности они руководствуются собственными постановлениями, законодательными актами, </w:t>
      </w:r>
      <w:hyperlink r:id="rId21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Постановлением Правительства России №493 от 2013 года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 и </w:t>
      </w:r>
      <w:hyperlink r:id="rId22" w:tgtFrame="_blank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статьей 20 ЖК РФ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bookmarkStart w:id="3" w:name="kak-proverit-rabotu-uk-zhkh-mnogokvartir"/>
      <w:bookmarkEnd w:id="3"/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Как проверить работу УК ЖКХ многоквартирного дома?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Если возникли подозрения, что УК ведет свои расчеты с собственниками жилья нечестно и выполняет свои обязанности недобросовестно, то ее всегда можно проверить, в том числе и на воровство.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Обеспечение исполнения обязательств управляющей организации — в ваших силах! Законом гражданам предоставлено такое право. Отметим очень важный момент —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коллективное обращение всегда имеет большую силу, чем единоличное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Поэтому, если возникнет необходимость такой проверки, то лучше действовать сообща. Не стоит забывать, что с каждым собственником заключается договор на обслуживание.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Отсюда следует вывод —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любые погрешности в расчетах, халатное выполнение своих обязанностей являются нарушением условий договора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 А за это нужно нести ответственность.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Далее попробуем расписать поэтапно, какие действия нужно предпринять для проверки своей УК.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bookmarkStart w:id="4" w:name="zapros-informacii?utm_source=table_of_co"/>
      <w:bookmarkEnd w:id="4"/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Запрос информации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Изучим начисление обязательных платежей за коммунальные услуги. Для этого затребуем у УК документацию, содержащую </w:t>
      </w:r>
      <w:hyperlink r:id="rId23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перечень тарифов их размер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Подобную информацию компания обязана предоставить собственнику по первому требованию. Но, как мы уже говорили, лучше действовать сообща. Поэтому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 от лица собственников жилья пишется заявление с требованием предоставить нужные сведения.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 Подробнее о порядке предоставления сведений и подаче заявки, читайте </w:t>
      </w:r>
      <w:hyperlink r:id="rId24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u w:val="single"/>
            <w:lang w:eastAsia="ru-RU"/>
          </w:rPr>
          <w:t>здесь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lastRenderedPageBreak/>
        <w:t>Проверка данных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Проверяем правильность расчетов и их обоснованность. Если возникают вопросы, связанные с начислениями, требуем в письменном виде УК обосновать их. Можно проверить расчеты и самим, возможно, что в доме есть люди, как с юридическим, так и с экономическим образованием.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Если таковых не найдется,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для проверки данных, предоставленных УК, можно обратиться к сторонним экспертам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. Это, конечно, дополнительный расход, но, чаще всего, затраты на экспертов окупаются. После того, как будет проведен анализ тарифов, переходим к следующему этапу.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bookmarkStart w:id="5" w:name="reviziya-dogovornyh-obyazatel-stv?utm_so"/>
      <w:bookmarkEnd w:id="5"/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Ревизия договорных обязательств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Необходимо проверить, как УК выполняет обусловленные договором работы. Для этого снова требуем от УК предоставить в адрес собственников жилья </w:t>
      </w:r>
      <w:hyperlink r:id="rId25" w:history="1">
        <w:r w:rsidRPr="00537A9B">
          <w:rPr>
            <w:rFonts w:ascii="Arial" w:eastAsia="Times New Roman" w:hAnsi="Arial" w:cs="Arial"/>
            <w:color w:val="638ABB"/>
            <w:sz w:val="24"/>
            <w:szCs w:val="24"/>
            <w:lang w:eastAsia="ru-RU"/>
          </w:rPr>
          <w:t>отчет</w:t>
        </w:r>
      </w:hyperlink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 о проделанных работах.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Помимо отчетов стоит потребовать приложения к ним, сметы расходов и прочей подобной документации. Из этих документов можно выяснить, куда и как были израсходованы денежные средства. К анализу можно снова привлечь сторонних экспертов.</w:t>
      </w:r>
    </w:p>
    <w:p w:rsidR="00537A9B" w:rsidRPr="00537A9B" w:rsidRDefault="00537A9B" w:rsidP="00537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648"/>
        </w:rPr>
      </w:pPr>
      <w:r w:rsidRPr="00537A9B">
        <w:rPr>
          <w:rFonts w:ascii="Arial" w:hAnsi="Arial" w:cs="Arial"/>
          <w:color w:val="323648"/>
        </w:rPr>
        <w:t>К тому же, документ будет зафиксирован официальным лицом, а это весьма сильный аргумент, как в досудебных разбирательствах с УК, так и в самом суде.</w:t>
      </w:r>
    </w:p>
    <w:p w:rsidR="00537A9B" w:rsidRPr="00537A9B" w:rsidRDefault="00537A9B" w:rsidP="00537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23648"/>
        </w:rPr>
      </w:pPr>
      <w:r w:rsidRPr="00537A9B">
        <w:rPr>
          <w:rFonts w:ascii="Arial" w:hAnsi="Arial" w:cs="Arial"/>
          <w:color w:val="323648"/>
        </w:rPr>
        <w:t>Не стоит напоминать и о том, что </w:t>
      </w:r>
      <w:r w:rsidRPr="00537A9B">
        <w:rPr>
          <w:rStyle w:val="a4"/>
          <w:rFonts w:ascii="Arial" w:hAnsi="Arial" w:cs="Arial"/>
          <w:color w:val="323648"/>
        </w:rPr>
        <w:t>до начала анализа документов, нужно припомнить все проведенные в доме работы</w:t>
      </w:r>
      <w:r w:rsidRPr="00537A9B">
        <w:rPr>
          <w:rFonts w:ascii="Arial" w:hAnsi="Arial" w:cs="Arial"/>
          <w:color w:val="323648"/>
        </w:rPr>
        <w:t>. Если они обсуждались на общем собрании или кто-то вел им учет — еще лучше.</w:t>
      </w:r>
    </w:p>
    <w:p w:rsidR="00537A9B" w:rsidRPr="00537A9B" w:rsidRDefault="00537A9B" w:rsidP="00537A9B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464B62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464B62"/>
          <w:sz w:val="24"/>
          <w:szCs w:val="24"/>
          <w:lang w:eastAsia="ru-RU"/>
        </w:rPr>
        <w:t>Обращение в органы контроля или суд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Если выяснится, что УК работает спустя рукава, не выполняет свои обязательства, к тому же завышает тарифы, объемы работ, берет плату за не выполненные работы и тому подобное, то можно сразу обращаться с иском в суд.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Следует заметить, что </w:t>
      </w:r>
      <w:r w:rsidRPr="00537A9B">
        <w:rPr>
          <w:rFonts w:ascii="Arial" w:eastAsia="Times New Roman" w:hAnsi="Arial" w:cs="Arial"/>
          <w:b/>
          <w:bCs/>
          <w:color w:val="323648"/>
          <w:sz w:val="24"/>
          <w:szCs w:val="24"/>
          <w:lang w:eastAsia="ru-RU"/>
        </w:rPr>
        <w:t>в делах такого рода лучше воспользоваться услугами юриста</w:t>
      </w: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. И в самом законодательстве, и в </w:t>
      </w:r>
      <w:proofErr w:type="spell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в</w:t>
      </w:r>
      <w:proofErr w:type="spell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подготовке иска существует много подводных камней и если ваши интересы будет представлять профессионал — шансы на успех значительно повысятся. Не стоит скупиться на оплату услуг юриста, все затраты в итоге окупятся.</w:t>
      </w:r>
    </w:p>
    <w:p w:rsidR="00537A9B" w:rsidRPr="00537A9B" w:rsidRDefault="00537A9B" w:rsidP="00537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648"/>
          <w:sz w:val="24"/>
          <w:szCs w:val="24"/>
          <w:lang w:eastAsia="ru-RU"/>
        </w:rPr>
      </w:pPr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Для обманутых жильцов обращение в жилищную инспекцию и </w:t>
      </w:r>
      <w:proofErr w:type="spellStart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>Потребнадзор</w:t>
      </w:r>
      <w:proofErr w:type="spellEnd"/>
      <w:r w:rsidRPr="00537A9B">
        <w:rPr>
          <w:rFonts w:ascii="Arial" w:eastAsia="Times New Roman" w:hAnsi="Arial" w:cs="Arial"/>
          <w:color w:val="323648"/>
          <w:sz w:val="24"/>
          <w:szCs w:val="24"/>
          <w:lang w:eastAsia="ru-RU"/>
        </w:rPr>
        <w:t xml:space="preserve"> после завершения анализа является самым выгодным вариантом. В конце концов – это их прямая обязанность разбираться с не чистыми на руку и нерадивыми исполнителями.</w:t>
      </w:r>
    </w:p>
    <w:p w:rsidR="00537A9B" w:rsidRPr="00537A9B" w:rsidRDefault="00537A9B" w:rsidP="00657D6F">
      <w:pPr>
        <w:spacing w:after="0" w:line="240" w:lineRule="auto"/>
        <w:rPr>
          <w:sz w:val="24"/>
          <w:szCs w:val="24"/>
        </w:rPr>
      </w:pPr>
      <w:r w:rsidRPr="00537A9B">
        <w:rPr>
          <w:rStyle w:val="a4"/>
          <w:rFonts w:ascii="Arial" w:hAnsi="Arial" w:cs="Arial"/>
          <w:color w:val="323648"/>
          <w:sz w:val="24"/>
          <w:szCs w:val="24"/>
          <w:shd w:val="clear" w:color="auto" w:fill="FFFFFF"/>
        </w:rPr>
        <w:t>В УК назначается проверка всей хозяйственной и финансовой деятельности</w:t>
      </w:r>
      <w:r w:rsidRPr="00537A9B">
        <w:rPr>
          <w:rFonts w:ascii="Arial" w:hAnsi="Arial" w:cs="Arial"/>
          <w:color w:val="323648"/>
          <w:sz w:val="24"/>
          <w:szCs w:val="24"/>
          <w:shd w:val="clear" w:color="auto" w:fill="FFFFFF"/>
        </w:rPr>
        <w:t xml:space="preserve">, после которой </w:t>
      </w:r>
      <w:proofErr w:type="spellStart"/>
      <w:r w:rsidRPr="00537A9B">
        <w:rPr>
          <w:rFonts w:ascii="Arial" w:hAnsi="Arial" w:cs="Arial"/>
          <w:color w:val="323648"/>
          <w:sz w:val="24"/>
          <w:szCs w:val="24"/>
          <w:shd w:val="clear" w:color="auto" w:fill="FFFFFF"/>
        </w:rPr>
        <w:t>которой</w:t>
      </w:r>
      <w:proofErr w:type="spellEnd"/>
      <w:r w:rsidRPr="00537A9B">
        <w:rPr>
          <w:rFonts w:ascii="Arial" w:hAnsi="Arial" w:cs="Arial"/>
          <w:color w:val="323648"/>
          <w:sz w:val="24"/>
          <w:szCs w:val="24"/>
          <w:shd w:val="clear" w:color="auto" w:fill="FFFFFF"/>
        </w:rPr>
        <w:t xml:space="preserve"> проверяющие органы делают выводы. При подтверждении нарушений, УК принудят без суда возместить гражданам незаконные поборы. Если жильцы останутся недовольны принятым решением — они могут обращаться в суд.</w:t>
      </w:r>
    </w:p>
    <w:p w:rsidR="00537A9B" w:rsidRPr="00537A9B" w:rsidRDefault="00537A9B" w:rsidP="00537A9B">
      <w:pPr>
        <w:rPr>
          <w:sz w:val="24"/>
          <w:szCs w:val="24"/>
        </w:rPr>
      </w:pPr>
      <w:r w:rsidRPr="00537A9B">
        <w:rPr>
          <w:sz w:val="24"/>
          <w:szCs w:val="24"/>
        </w:rPr>
        <w:t>Заключение</w:t>
      </w:r>
    </w:p>
    <w:p w:rsidR="00537A9B" w:rsidRPr="00537A9B" w:rsidRDefault="00537A9B" w:rsidP="00537A9B">
      <w:pPr>
        <w:rPr>
          <w:sz w:val="24"/>
          <w:szCs w:val="24"/>
        </w:rPr>
      </w:pPr>
      <w:r w:rsidRPr="00537A9B">
        <w:rPr>
          <w:sz w:val="24"/>
          <w:szCs w:val="24"/>
        </w:rPr>
        <w:lastRenderedPageBreak/>
        <w:t>Если вы не являетесь юристом или не имеете достаточно практики в делах, связанных с жилищными тяжбами, лучше обратитесь к тому, кто постоянно практикуется в разрешении подобных споров.</w:t>
      </w:r>
    </w:p>
    <w:p w:rsidR="00537A9B" w:rsidRPr="00537A9B" w:rsidRDefault="00537A9B" w:rsidP="00537A9B">
      <w:r w:rsidRPr="00537A9B">
        <w:rPr>
          <w:sz w:val="24"/>
          <w:szCs w:val="24"/>
        </w:rPr>
        <w:t>Ответчик, то есть УК, при возникновении такого спора найдет себе опытного юриста, который, если и не сможет опровергнуть вашу доказательную базу, всегда найдет процессуальные огрехи — неточно составленное исковое заявление или не выдержаны сроки. А отыскав зацепку, опытный юрист с легкостью может развалить дело</w:t>
      </w:r>
      <w:r w:rsidRPr="00537A9B">
        <w:t>.</w:t>
      </w:r>
    </w:p>
    <w:p w:rsidR="00537A9B" w:rsidRPr="00537A9B" w:rsidRDefault="00537A9B" w:rsidP="00537A9B">
      <w:r w:rsidRPr="00537A9B">
        <w:t>Не забывайте о том, что </w:t>
      </w:r>
      <w:r w:rsidRPr="00537A9B">
        <w:rPr>
          <w:b/>
          <w:bCs/>
        </w:rPr>
        <w:t xml:space="preserve">вы всегда можете обратиться в специальные контролирующие органы — </w:t>
      </w:r>
      <w:proofErr w:type="spellStart"/>
      <w:r w:rsidRPr="00537A9B">
        <w:rPr>
          <w:b/>
          <w:bCs/>
        </w:rPr>
        <w:t>Потребнадзор</w:t>
      </w:r>
      <w:proofErr w:type="spellEnd"/>
      <w:r w:rsidRPr="00537A9B">
        <w:rPr>
          <w:b/>
          <w:bCs/>
        </w:rPr>
        <w:t xml:space="preserve"> либо жилищную инспекцию</w:t>
      </w:r>
      <w:r w:rsidRPr="00537A9B">
        <w:t>. Контролировать и разбираться в работе управляющих компаний — их прямая обязанность. Возможно, что после их проверки, спорный вопрос решиться и без суда.</w:t>
      </w:r>
    </w:p>
    <w:p w:rsidR="0000032C" w:rsidRPr="00537A9B" w:rsidRDefault="0000032C" w:rsidP="00537A9B"/>
    <w:sectPr w:rsidR="0000032C" w:rsidRPr="0053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E4FCA"/>
    <w:multiLevelType w:val="multilevel"/>
    <w:tmpl w:val="847C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F2C2C"/>
    <w:multiLevelType w:val="multilevel"/>
    <w:tmpl w:val="7C3C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1332D"/>
    <w:multiLevelType w:val="multilevel"/>
    <w:tmpl w:val="14C2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A0E0F"/>
    <w:multiLevelType w:val="multilevel"/>
    <w:tmpl w:val="2C2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F"/>
    <w:rsid w:val="0000032C"/>
    <w:rsid w:val="00537A9B"/>
    <w:rsid w:val="00657D6F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A60F-3227-4D93-AEE8-1CB939E2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2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599">
          <w:marLeft w:val="0"/>
          <w:marRight w:val="0"/>
          <w:marTop w:val="300"/>
          <w:marBottom w:val="300"/>
          <w:divBdr>
            <w:top w:val="single" w:sz="6" w:space="15" w:color="638ABB"/>
            <w:left w:val="single" w:sz="6" w:space="31" w:color="638ABB"/>
            <w:bottom w:val="single" w:sz="6" w:space="15" w:color="638ABB"/>
            <w:right w:val="single" w:sz="6" w:space="31" w:color="638ABB"/>
          </w:divBdr>
        </w:div>
      </w:divsChild>
    </w:div>
    <w:div w:id="2120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jk/13/" TargetMode="External"/><Relationship Id="rId13" Type="http://schemas.openxmlformats.org/officeDocument/2006/relationships/hyperlink" Target="http://www.consultant.ru/document/cons_doc_LAW_305/" TargetMode="External"/><Relationship Id="rId18" Type="http://schemas.openxmlformats.org/officeDocument/2006/relationships/hyperlink" Target="http://www.zakonrf.info/koap/14.7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7695/92d969e26a4326c5d02fa79b8f9cf4994ee5633b/" TargetMode="External"/><Relationship Id="rId7" Type="http://schemas.openxmlformats.org/officeDocument/2006/relationships/hyperlink" Target="http://www.consultant.ru/document/cons_doc_LAW_114247/92d969e26a4326c5d02fa79b8f9cf4994ee5633b/" TargetMode="External"/><Relationship Id="rId12" Type="http://schemas.openxmlformats.org/officeDocument/2006/relationships/hyperlink" Target="http://www.consultant.ru/document/cons_doc_LAW_93978/" TargetMode="External"/><Relationship Id="rId17" Type="http://schemas.openxmlformats.org/officeDocument/2006/relationships/hyperlink" Target="http://www.zakonrf.info/koap/14.6/" TargetMode="External"/><Relationship Id="rId25" Type="http://schemas.openxmlformats.org/officeDocument/2006/relationships/hyperlink" Target="https://101urist.com/nedvizhimost/uprav-mkd/upravlyayushhaya-kompaniya/ezhegodnyj-otch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rf.info/koap/6.24/" TargetMode="External"/><Relationship Id="rId20" Type="http://schemas.openxmlformats.org/officeDocument/2006/relationships/hyperlink" Target="http://www.zakonrf.info/koap/14.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4247/80731d6ec14aa3ce59d19e75b8d02c486db6fdab/" TargetMode="External"/><Relationship Id="rId11" Type="http://schemas.openxmlformats.org/officeDocument/2006/relationships/hyperlink" Target="http://www.consultant.ru/document/cons_doc_LAW_262/c402860f858e3c4fc8c6cfbef1df8e29f4eed60f/" TargetMode="External"/><Relationship Id="rId24" Type="http://schemas.openxmlformats.org/officeDocument/2006/relationships/hyperlink" Target="https://101urist.com/nedvizhimost/uprav-mkd/upravlyayushhaya-kompaniya/predostavlenie-informatsii.html" TargetMode="External"/><Relationship Id="rId5" Type="http://schemas.openxmlformats.org/officeDocument/2006/relationships/hyperlink" Target="http://www.zakonrf.info/jk/196/" TargetMode="External"/><Relationship Id="rId15" Type="http://schemas.openxmlformats.org/officeDocument/2006/relationships/hyperlink" Target="http://www.zakonrf.info/koap/6.5/" TargetMode="External"/><Relationship Id="rId23" Type="http://schemas.openxmlformats.org/officeDocument/2006/relationships/hyperlink" Target="https://101urist.com/nedvizhimost/uprav-mkd/upravlyayushhaya-kompaniya/tarify-uslug.html" TargetMode="External"/><Relationship Id="rId10" Type="http://schemas.openxmlformats.org/officeDocument/2006/relationships/hyperlink" Target="http://www.consultant.ru/document/cons_doc_LAW_147695/92d969e26a4326c5d02fa79b8f9cf4994ee5633b/" TargetMode="External"/><Relationship Id="rId19" Type="http://schemas.openxmlformats.org/officeDocument/2006/relationships/hyperlink" Target="http://www.zakonrf.info/koap/14.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jk/20/" TargetMode="External"/><Relationship Id="rId14" Type="http://schemas.openxmlformats.org/officeDocument/2006/relationships/hyperlink" Target="http://www.zakonrf.info/koap/6.4/" TargetMode="External"/><Relationship Id="rId22" Type="http://schemas.openxmlformats.org/officeDocument/2006/relationships/hyperlink" Target="https://www.zakonrf.info/jk/2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3</cp:revision>
  <dcterms:created xsi:type="dcterms:W3CDTF">2020-06-18T07:24:00Z</dcterms:created>
  <dcterms:modified xsi:type="dcterms:W3CDTF">2020-06-18T09:15:00Z</dcterms:modified>
</cp:coreProperties>
</file>