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40" w:rsidRDefault="00805F40" w:rsidP="00805F40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35D9AF89" wp14:editId="7B2FD968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40" w:rsidRDefault="00805F40" w:rsidP="0080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05F40" w:rsidRDefault="00805F40" w:rsidP="0080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805F40" w:rsidRDefault="00805F40" w:rsidP="0080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344619" w:rsidRPr="00344619" w:rsidRDefault="00344619" w:rsidP="00805F40">
      <w:pPr>
        <w:jc w:val="center"/>
        <w:rPr>
          <w:b/>
          <w:sz w:val="28"/>
          <w:szCs w:val="28"/>
        </w:rPr>
      </w:pPr>
    </w:p>
    <w:p w:rsidR="00805F40" w:rsidRDefault="00805F40" w:rsidP="00805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5F40" w:rsidRPr="00344619" w:rsidRDefault="00805F40" w:rsidP="00805F4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3129"/>
        <w:gridCol w:w="3098"/>
      </w:tblGrid>
      <w:tr w:rsidR="00805F40" w:rsidTr="00805F40">
        <w:tc>
          <w:tcPr>
            <w:tcW w:w="3190" w:type="dxa"/>
            <w:hideMark/>
          </w:tcPr>
          <w:p w:rsidR="00805F40" w:rsidRDefault="001B58F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17.12.2020</w:t>
            </w:r>
          </w:p>
        </w:tc>
        <w:tc>
          <w:tcPr>
            <w:tcW w:w="3190" w:type="dxa"/>
            <w:hideMark/>
          </w:tcPr>
          <w:p w:rsidR="00805F40" w:rsidRDefault="00805F40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  <w:r w:rsidR="001B58F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Пировское</w:t>
            </w:r>
          </w:p>
        </w:tc>
        <w:tc>
          <w:tcPr>
            <w:tcW w:w="3191" w:type="dxa"/>
            <w:hideMark/>
          </w:tcPr>
          <w:p w:rsidR="00805F40" w:rsidRDefault="001B58FB" w:rsidP="00382F8D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82F8D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382F8D">
              <w:rPr>
                <w:sz w:val="28"/>
                <w:szCs w:val="28"/>
                <w:lang w:eastAsia="en-US"/>
              </w:rPr>
              <w:t>6-40р</w:t>
            </w:r>
          </w:p>
        </w:tc>
      </w:tr>
    </w:tbl>
    <w:p w:rsidR="00805F40" w:rsidRDefault="00805F40" w:rsidP="00805F40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805F40" w:rsidTr="00805F40">
        <w:tc>
          <w:tcPr>
            <w:tcW w:w="9356" w:type="dxa"/>
            <w:hideMark/>
          </w:tcPr>
          <w:p w:rsidR="00805F40" w:rsidRDefault="0037555D" w:rsidP="0037555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вопросах правопреемства</w:t>
            </w:r>
          </w:p>
        </w:tc>
      </w:tr>
    </w:tbl>
    <w:p w:rsidR="00805F40" w:rsidRDefault="00805F40" w:rsidP="0037555D">
      <w:pPr>
        <w:rPr>
          <w:sz w:val="28"/>
          <w:szCs w:val="28"/>
        </w:rPr>
      </w:pPr>
    </w:p>
    <w:p w:rsidR="00805F40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805F40">
        <w:rPr>
          <w:sz w:val="28"/>
          <w:szCs w:val="28"/>
        </w:rPr>
        <w:t xml:space="preserve"> от 06.10.</w:t>
      </w:r>
      <w:r w:rsidR="00B3249E">
        <w:rPr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</w:t>
      </w:r>
      <w:r w:rsidR="00B3249E">
        <w:rPr>
          <w:sz w:val="28"/>
          <w:szCs w:val="28"/>
        </w:rPr>
        <w:t xml:space="preserve"> Красноярского края от 05.12.2019 №8-3431 «Об объединении всех поселений, входящих в состав Пировского района Красноярского края, и наделении вновь образованного муниципального образования статусом муниципального округа</w:t>
      </w:r>
      <w:proofErr w:type="gramStart"/>
      <w:r w:rsidR="00B3249E">
        <w:rPr>
          <w:sz w:val="28"/>
          <w:szCs w:val="28"/>
        </w:rPr>
        <w:t xml:space="preserve">», </w:t>
      </w:r>
      <w:r w:rsidR="00B40A2C">
        <w:rPr>
          <w:sz w:val="28"/>
          <w:szCs w:val="28"/>
        </w:rPr>
        <w:t xml:space="preserve"> Пировский</w:t>
      </w:r>
      <w:proofErr w:type="gramEnd"/>
      <w:r w:rsidR="00B40A2C">
        <w:rPr>
          <w:sz w:val="28"/>
          <w:szCs w:val="28"/>
        </w:rPr>
        <w:t xml:space="preserve"> окружной Совет депутатов РЕШИЛ:</w:t>
      </w:r>
    </w:p>
    <w:p w:rsidR="00B40A2C" w:rsidRDefault="00B40A2C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7E7E">
        <w:rPr>
          <w:sz w:val="28"/>
          <w:szCs w:val="28"/>
        </w:rPr>
        <w:t xml:space="preserve"> </w:t>
      </w:r>
      <w:r w:rsidR="0037555D">
        <w:rPr>
          <w:sz w:val="28"/>
          <w:szCs w:val="28"/>
        </w:rPr>
        <w:t>Определить администрацию Пировского муниципального округа правопреемником в отношениях с органами государственной власти Российской Федерации, органами государственной власти Красноярского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</w:t>
      </w:r>
      <w:r>
        <w:rPr>
          <w:sz w:val="28"/>
          <w:szCs w:val="28"/>
        </w:rPr>
        <w:t>:</w:t>
      </w:r>
    </w:p>
    <w:p w:rsidR="0037555D" w:rsidRDefault="0037555D" w:rsidP="00375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Пировского района Красноярского края (ИНН 2431000658, ОГРН 1022401277667);</w:t>
      </w:r>
    </w:p>
    <w:p w:rsidR="0037555D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0788">
        <w:rPr>
          <w:sz w:val="28"/>
          <w:szCs w:val="28"/>
        </w:rPr>
        <w:t xml:space="preserve"> </w:t>
      </w:r>
      <w:proofErr w:type="spellStart"/>
      <w:r w:rsidR="00330788">
        <w:rPr>
          <w:sz w:val="28"/>
          <w:szCs w:val="28"/>
        </w:rPr>
        <w:t>Бушуйского</w:t>
      </w:r>
      <w:proofErr w:type="spellEnd"/>
      <w:r w:rsidR="00330788">
        <w:rPr>
          <w:sz w:val="28"/>
          <w:szCs w:val="28"/>
        </w:rPr>
        <w:t xml:space="preserve"> сельсовета Пировского района Красноярского края (ИНН 2431000471, ОГРН 1022401272629</w:t>
      </w:r>
      <w:r>
        <w:rPr>
          <w:sz w:val="28"/>
          <w:szCs w:val="28"/>
        </w:rPr>
        <w:t>);</w:t>
      </w:r>
    </w:p>
    <w:p w:rsidR="00330788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0788">
        <w:rPr>
          <w:sz w:val="28"/>
          <w:szCs w:val="28"/>
        </w:rPr>
        <w:t xml:space="preserve"> </w:t>
      </w:r>
      <w:proofErr w:type="spellStart"/>
      <w:r w:rsidR="00330788">
        <w:rPr>
          <w:sz w:val="28"/>
          <w:szCs w:val="28"/>
        </w:rPr>
        <w:t>Икшурминского</w:t>
      </w:r>
      <w:proofErr w:type="spellEnd"/>
      <w:r w:rsidR="00330788">
        <w:rPr>
          <w:sz w:val="28"/>
          <w:szCs w:val="28"/>
        </w:rPr>
        <w:t xml:space="preserve"> сельсовета Пировского района Красноярского края (ИНН</w:t>
      </w:r>
      <w:r>
        <w:rPr>
          <w:sz w:val="28"/>
          <w:szCs w:val="28"/>
        </w:rPr>
        <w:t xml:space="preserve"> 2431000288, ОГРН 1022401275687);</w:t>
      </w:r>
    </w:p>
    <w:p w:rsidR="00330788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0788">
        <w:rPr>
          <w:sz w:val="28"/>
          <w:szCs w:val="28"/>
        </w:rPr>
        <w:t xml:space="preserve"> </w:t>
      </w:r>
      <w:proofErr w:type="spellStart"/>
      <w:r w:rsidR="00330788">
        <w:rPr>
          <w:sz w:val="28"/>
          <w:szCs w:val="28"/>
        </w:rPr>
        <w:t>Кетского</w:t>
      </w:r>
      <w:proofErr w:type="spellEnd"/>
      <w:r w:rsidR="00330788">
        <w:rPr>
          <w:sz w:val="28"/>
          <w:szCs w:val="28"/>
        </w:rPr>
        <w:t xml:space="preserve"> сельсовета Пировского района Красноярского </w:t>
      </w:r>
      <w:proofErr w:type="gramStart"/>
      <w:r w:rsidR="00330788">
        <w:rPr>
          <w:sz w:val="28"/>
          <w:szCs w:val="28"/>
        </w:rPr>
        <w:t>края</w:t>
      </w:r>
      <w:proofErr w:type="gramEnd"/>
      <w:r w:rsidR="00330788">
        <w:rPr>
          <w:sz w:val="28"/>
          <w:szCs w:val="28"/>
        </w:rPr>
        <w:t xml:space="preserve"> (ИНН 2431003070, ОГРН </w:t>
      </w:r>
      <w:r>
        <w:rPr>
          <w:sz w:val="28"/>
          <w:szCs w:val="28"/>
        </w:rPr>
        <w:t>1192468035198);</w:t>
      </w:r>
    </w:p>
    <w:p w:rsidR="00F33A73" w:rsidRDefault="007C7AA7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37555D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сельсовета Пировского района Красноярского края (ИНН</w:t>
      </w:r>
      <w:r w:rsidR="0037555D">
        <w:rPr>
          <w:sz w:val="28"/>
          <w:szCs w:val="28"/>
        </w:rPr>
        <w:t xml:space="preserve"> 2431000633, ОГРН 1022401272607);</w:t>
      </w:r>
    </w:p>
    <w:p w:rsidR="007C7AA7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C7AA7">
        <w:rPr>
          <w:sz w:val="28"/>
          <w:szCs w:val="28"/>
        </w:rPr>
        <w:t xml:space="preserve"> </w:t>
      </w:r>
      <w:proofErr w:type="spellStart"/>
      <w:r w:rsidR="007C7AA7">
        <w:rPr>
          <w:sz w:val="28"/>
          <w:szCs w:val="28"/>
        </w:rPr>
        <w:t>Комаровского</w:t>
      </w:r>
      <w:proofErr w:type="spellEnd"/>
      <w:r w:rsidR="007C7AA7">
        <w:rPr>
          <w:sz w:val="28"/>
          <w:szCs w:val="28"/>
        </w:rPr>
        <w:t xml:space="preserve"> сельсовета Пировского района Красноярского края (ИНН</w:t>
      </w:r>
      <w:r>
        <w:rPr>
          <w:sz w:val="28"/>
          <w:szCs w:val="28"/>
        </w:rPr>
        <w:t xml:space="preserve"> 2431000432, ОГРН 1022401272497);</w:t>
      </w:r>
    </w:p>
    <w:p w:rsidR="007C7AA7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C7AA7">
        <w:rPr>
          <w:sz w:val="28"/>
          <w:szCs w:val="28"/>
        </w:rPr>
        <w:t xml:space="preserve"> Пировского сельсовета Пировского района Красноярского края (ИНН</w:t>
      </w:r>
      <w:r>
        <w:rPr>
          <w:sz w:val="28"/>
          <w:szCs w:val="28"/>
        </w:rPr>
        <w:t xml:space="preserve"> 2431000619, ОГРН 1022401275566);</w:t>
      </w:r>
    </w:p>
    <w:p w:rsidR="007C7AA7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C7AA7">
        <w:rPr>
          <w:sz w:val="28"/>
          <w:szCs w:val="28"/>
        </w:rPr>
        <w:t xml:space="preserve"> </w:t>
      </w:r>
      <w:proofErr w:type="spellStart"/>
      <w:r w:rsidR="007C7AA7">
        <w:rPr>
          <w:sz w:val="28"/>
          <w:szCs w:val="28"/>
        </w:rPr>
        <w:t>Солоухинского</w:t>
      </w:r>
      <w:proofErr w:type="spellEnd"/>
      <w:r w:rsidR="007C7AA7">
        <w:rPr>
          <w:sz w:val="28"/>
          <w:szCs w:val="28"/>
        </w:rPr>
        <w:t xml:space="preserve"> сельсовета Пировского района Красноярского края (ИНН</w:t>
      </w:r>
      <w:r>
        <w:rPr>
          <w:sz w:val="28"/>
          <w:szCs w:val="28"/>
        </w:rPr>
        <w:t xml:space="preserve"> 2431000626, ОГРН 1022401272618);</w:t>
      </w:r>
    </w:p>
    <w:p w:rsidR="007C7AA7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C7AA7">
        <w:rPr>
          <w:sz w:val="28"/>
          <w:szCs w:val="28"/>
        </w:rPr>
        <w:t xml:space="preserve"> Троицкого сельсовета Пировского района Красноярского края (ИНН </w:t>
      </w:r>
      <w:r>
        <w:rPr>
          <w:sz w:val="28"/>
          <w:szCs w:val="28"/>
        </w:rPr>
        <w:t>2431000390, ОГРН 1022401275698);</w:t>
      </w:r>
    </w:p>
    <w:p w:rsidR="006B0448" w:rsidRDefault="0037555D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</w:t>
      </w:r>
      <w:r w:rsidR="006B0448">
        <w:rPr>
          <w:sz w:val="28"/>
          <w:szCs w:val="28"/>
        </w:rPr>
        <w:t xml:space="preserve"> </w:t>
      </w:r>
      <w:proofErr w:type="spellStart"/>
      <w:r w:rsidR="006B0448">
        <w:rPr>
          <w:sz w:val="28"/>
          <w:szCs w:val="28"/>
        </w:rPr>
        <w:t>Чайдинского</w:t>
      </w:r>
      <w:proofErr w:type="spellEnd"/>
      <w:r w:rsidR="006B0448">
        <w:rPr>
          <w:sz w:val="28"/>
          <w:szCs w:val="28"/>
        </w:rPr>
        <w:t xml:space="preserve"> сельсовета Пировского района Красноярского края (ИНН</w:t>
      </w:r>
      <w:r>
        <w:rPr>
          <w:sz w:val="28"/>
          <w:szCs w:val="28"/>
        </w:rPr>
        <w:t xml:space="preserve"> 2431000672, ОГРН 1022401275544).</w:t>
      </w:r>
    </w:p>
    <w:p w:rsidR="0037555D" w:rsidRDefault="00A95A42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7E7E">
        <w:rPr>
          <w:sz w:val="28"/>
          <w:szCs w:val="28"/>
        </w:rPr>
        <w:t xml:space="preserve"> </w:t>
      </w:r>
      <w:r>
        <w:rPr>
          <w:sz w:val="28"/>
          <w:szCs w:val="28"/>
        </w:rPr>
        <w:t>В переходный период, предусмотренный статьей 2 Закона Красноярского края от 05.12.2019 №8-3431 «Об объединении всех поселений, входящих в состав Пировского района Красноярского края, и наделении вновь образованного муниципального образования статусом муниципального округа»:</w:t>
      </w:r>
    </w:p>
    <w:p w:rsidR="00536C9A" w:rsidRDefault="00A95A42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57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бюджетов Пировского района, </w:t>
      </w:r>
      <w:proofErr w:type="spellStart"/>
      <w:r w:rsidR="007A2509">
        <w:rPr>
          <w:sz w:val="28"/>
          <w:szCs w:val="28"/>
        </w:rPr>
        <w:t>Бушуйского</w:t>
      </w:r>
      <w:proofErr w:type="spellEnd"/>
      <w:r w:rsidR="007A2509">
        <w:rPr>
          <w:sz w:val="28"/>
          <w:szCs w:val="28"/>
        </w:rPr>
        <w:t xml:space="preserve"> сельского поселения, </w:t>
      </w:r>
      <w:proofErr w:type="spellStart"/>
      <w:r w:rsidR="007A2509">
        <w:rPr>
          <w:sz w:val="28"/>
          <w:szCs w:val="28"/>
        </w:rPr>
        <w:t>Икшурминского</w:t>
      </w:r>
      <w:proofErr w:type="spellEnd"/>
      <w:r w:rsidR="007A2509">
        <w:rPr>
          <w:sz w:val="28"/>
          <w:szCs w:val="28"/>
        </w:rPr>
        <w:t xml:space="preserve"> сельского поселения, </w:t>
      </w:r>
      <w:proofErr w:type="spellStart"/>
      <w:r w:rsidR="007A2509">
        <w:rPr>
          <w:sz w:val="28"/>
          <w:szCs w:val="28"/>
        </w:rPr>
        <w:t>Кетского</w:t>
      </w:r>
      <w:proofErr w:type="spellEnd"/>
      <w:r w:rsidR="007A2509">
        <w:rPr>
          <w:sz w:val="28"/>
          <w:szCs w:val="28"/>
        </w:rPr>
        <w:t xml:space="preserve"> сельского поселения, </w:t>
      </w:r>
      <w:proofErr w:type="spellStart"/>
      <w:r w:rsidR="007A2509">
        <w:rPr>
          <w:sz w:val="28"/>
          <w:szCs w:val="28"/>
        </w:rPr>
        <w:t>Кириковского</w:t>
      </w:r>
      <w:proofErr w:type="spellEnd"/>
      <w:r w:rsidR="007A2509">
        <w:rPr>
          <w:sz w:val="28"/>
          <w:szCs w:val="28"/>
        </w:rPr>
        <w:t xml:space="preserve"> сельского поселения, </w:t>
      </w:r>
      <w:proofErr w:type="spellStart"/>
      <w:r w:rsidR="007A2509">
        <w:rPr>
          <w:sz w:val="28"/>
          <w:szCs w:val="28"/>
        </w:rPr>
        <w:t>Комаровского</w:t>
      </w:r>
      <w:proofErr w:type="spellEnd"/>
      <w:r w:rsidR="007A2509">
        <w:rPr>
          <w:sz w:val="28"/>
          <w:szCs w:val="28"/>
        </w:rPr>
        <w:t xml:space="preserve"> сельского поселения, Пировского сельского поселения, </w:t>
      </w:r>
      <w:proofErr w:type="spellStart"/>
      <w:r w:rsidR="007A2509">
        <w:rPr>
          <w:sz w:val="28"/>
          <w:szCs w:val="28"/>
        </w:rPr>
        <w:t>Солоухинского</w:t>
      </w:r>
      <w:proofErr w:type="spellEnd"/>
      <w:r w:rsidR="007A2509">
        <w:rPr>
          <w:sz w:val="28"/>
          <w:szCs w:val="28"/>
        </w:rPr>
        <w:t xml:space="preserve"> сельского поселения,</w:t>
      </w:r>
      <w:r w:rsidR="00940708">
        <w:rPr>
          <w:sz w:val="28"/>
          <w:szCs w:val="28"/>
        </w:rPr>
        <w:t xml:space="preserve"> Троицкого сельского поселения,</w:t>
      </w:r>
      <w:r w:rsidR="007A2509">
        <w:rPr>
          <w:sz w:val="28"/>
          <w:szCs w:val="28"/>
        </w:rPr>
        <w:t xml:space="preserve"> </w:t>
      </w:r>
      <w:proofErr w:type="spellStart"/>
      <w:r w:rsidR="007A2509">
        <w:rPr>
          <w:sz w:val="28"/>
          <w:szCs w:val="28"/>
        </w:rPr>
        <w:t>Чайдинского</w:t>
      </w:r>
      <w:proofErr w:type="spellEnd"/>
      <w:r w:rsidR="007A2509">
        <w:rPr>
          <w:sz w:val="28"/>
          <w:szCs w:val="28"/>
        </w:rPr>
        <w:t xml:space="preserve"> сельского поселения</w:t>
      </w:r>
      <w:r w:rsidR="00536C9A">
        <w:rPr>
          <w:sz w:val="28"/>
          <w:szCs w:val="28"/>
        </w:rPr>
        <w:t>, составление бюджетной и иной отчетности указанных поселений, составление консолидированной отчетности Пировского района и контроль за исполнением указанных бюджетов осуществляется:</w:t>
      </w:r>
    </w:p>
    <w:p w:rsidR="00536C9A" w:rsidRDefault="00536C9A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муниципальными правовыми актами, регулирующими бюджетный процесс в Пировском районе,  </w:t>
      </w:r>
      <w:proofErr w:type="spellStart"/>
      <w:r>
        <w:rPr>
          <w:sz w:val="28"/>
          <w:szCs w:val="28"/>
        </w:rPr>
        <w:t>Бушуйском</w:t>
      </w:r>
      <w:proofErr w:type="spellEnd"/>
      <w:r>
        <w:rPr>
          <w:sz w:val="28"/>
          <w:szCs w:val="28"/>
        </w:rPr>
        <w:t xml:space="preserve"> сельском поселении, </w:t>
      </w:r>
      <w:proofErr w:type="spellStart"/>
      <w:r>
        <w:rPr>
          <w:sz w:val="28"/>
          <w:szCs w:val="28"/>
        </w:rPr>
        <w:t>Икшурминском</w:t>
      </w:r>
      <w:proofErr w:type="spellEnd"/>
      <w:r>
        <w:rPr>
          <w:sz w:val="28"/>
          <w:szCs w:val="28"/>
        </w:rPr>
        <w:t xml:space="preserve"> сельском поселении, </w:t>
      </w:r>
      <w:proofErr w:type="spellStart"/>
      <w:r>
        <w:rPr>
          <w:sz w:val="28"/>
          <w:szCs w:val="28"/>
        </w:rPr>
        <w:t>Кетском</w:t>
      </w:r>
      <w:proofErr w:type="spellEnd"/>
      <w:r>
        <w:rPr>
          <w:sz w:val="28"/>
          <w:szCs w:val="28"/>
        </w:rPr>
        <w:t xml:space="preserve"> сельском поселении, </w:t>
      </w:r>
      <w:proofErr w:type="spellStart"/>
      <w:r>
        <w:rPr>
          <w:sz w:val="28"/>
          <w:szCs w:val="28"/>
        </w:rPr>
        <w:t>Кириковском</w:t>
      </w:r>
      <w:proofErr w:type="spellEnd"/>
      <w:r>
        <w:rPr>
          <w:sz w:val="28"/>
          <w:szCs w:val="28"/>
        </w:rPr>
        <w:t xml:space="preserve"> сельском поселении, </w:t>
      </w:r>
      <w:proofErr w:type="spellStart"/>
      <w:r>
        <w:rPr>
          <w:sz w:val="28"/>
          <w:szCs w:val="28"/>
        </w:rPr>
        <w:t>Комаровском</w:t>
      </w:r>
      <w:proofErr w:type="spellEnd"/>
      <w:r>
        <w:rPr>
          <w:sz w:val="28"/>
          <w:szCs w:val="28"/>
        </w:rPr>
        <w:t xml:space="preserve"> сельском поселении, Пировском сельском поселении, </w:t>
      </w:r>
      <w:proofErr w:type="spellStart"/>
      <w:r>
        <w:rPr>
          <w:sz w:val="28"/>
          <w:szCs w:val="28"/>
        </w:rPr>
        <w:t>Солоухинском</w:t>
      </w:r>
      <w:proofErr w:type="spellEnd"/>
      <w:r>
        <w:rPr>
          <w:sz w:val="28"/>
          <w:szCs w:val="28"/>
        </w:rPr>
        <w:t xml:space="preserve"> сельском поселении,</w:t>
      </w:r>
      <w:r w:rsidR="00940708">
        <w:rPr>
          <w:sz w:val="28"/>
          <w:szCs w:val="28"/>
        </w:rPr>
        <w:t xml:space="preserve"> Троицком сельском поселении,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Чайдинском</w:t>
      </w:r>
      <w:proofErr w:type="spellEnd"/>
      <w:r>
        <w:rPr>
          <w:sz w:val="28"/>
          <w:szCs w:val="28"/>
        </w:rPr>
        <w:t xml:space="preserve"> сельском поселении;</w:t>
      </w:r>
    </w:p>
    <w:p w:rsidR="00536C9A" w:rsidRDefault="00536C9A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соглашениями, заключенными между органами местного самоуправления поселений, входящих в состав Пировского района, и органами местного самоуправления Пировского района о передаче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Пировского района, и (или) за счет межбюджетных трансфертов, предоставляемых из бюджета Пировского района в бюджеты соответствующих поселений в соответствии с Бюджетным кодексом Российской Федерации;</w:t>
      </w:r>
    </w:p>
    <w:p w:rsidR="00536C9A" w:rsidRDefault="00536C9A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соглашениями, заключенными между Министерством финансов Красноярского края и органами местного самоуправления Пировского района;</w:t>
      </w:r>
    </w:p>
    <w:p w:rsidR="005F3F16" w:rsidRDefault="00536C9A" w:rsidP="00B40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соглашениями, заключенными между органами государственной власти Красноярского края и органами местного самоуправления Пировского района</w:t>
      </w:r>
      <w:r w:rsidR="005F3F16">
        <w:rPr>
          <w:sz w:val="28"/>
          <w:szCs w:val="28"/>
        </w:rPr>
        <w:t xml:space="preserve"> о предоставлении из бюджета Красноярского края бюджету Пировского района межбюджетных трансфертов, имеющих целевое значение;</w:t>
      </w:r>
    </w:p>
    <w:p w:rsidR="0037555D" w:rsidRDefault="005F3F16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57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учреждениями Пировского района, предоставление указанным бюджетным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</w:t>
      </w:r>
      <w:r>
        <w:rPr>
          <w:sz w:val="28"/>
          <w:szCs w:val="28"/>
        </w:rPr>
        <w:lastRenderedPageBreak/>
        <w:t>содержание, осуществление закупок товаров, работ и услуг для обеспечения муниципальных нужд органов местного самоуправления Пировского района,</w:t>
      </w:r>
      <w:r w:rsidR="007A25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сельского поселения, Пировского сельского поселения,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940708">
        <w:rPr>
          <w:sz w:val="28"/>
          <w:szCs w:val="28"/>
        </w:rPr>
        <w:t xml:space="preserve"> Троицкого сельского поселения,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сельского поселения осуществляется за счет средств соответствующих бюджетов Пировского района,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сельского поселения, Пировского сельского поселения,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940708">
        <w:rPr>
          <w:sz w:val="28"/>
          <w:szCs w:val="28"/>
        </w:rPr>
        <w:t xml:space="preserve"> Троицкого сельского поселения,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сельского поселения до 01 января 2021 года.</w:t>
      </w:r>
    </w:p>
    <w:p w:rsidR="005F3F16" w:rsidRDefault="005F3F16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5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Остатки средств, находящиеся на единых счетах бюджетов Пировского района,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сельского поселения, Пировского сельского поселения,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940708">
        <w:rPr>
          <w:sz w:val="28"/>
          <w:szCs w:val="28"/>
        </w:rPr>
        <w:t xml:space="preserve"> Троицкого сельского поселения,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сельского поселения по состоянию на 01 января 2021 года, включая заключительные обороты по доходам, поступившим в бюджеты Пировского района,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сельского поселения, Пировского сельского поселения,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940708">
        <w:rPr>
          <w:sz w:val="28"/>
          <w:szCs w:val="28"/>
        </w:rPr>
        <w:t xml:space="preserve"> Троицкого сельского поселения,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сельского поселения в 2020  году, подлежащие отражению в отчетности об исполнении бюджетов за 2020 год, подлежат перечислению на единый счет бюджета Пировского муниципального округа не позднее 20.01.2021 года.</w:t>
      </w:r>
    </w:p>
    <w:p w:rsidR="00940708" w:rsidRDefault="00940708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Остатки средств, находящиеся по состоянию на 01 января 2021 года на лицевых счетах муниципальных учреждений Пировского района, в части неиспользованных субсидий, предоставленных указанным учреждениям на финансовое обеспечение выполнения муниципального задания,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подлежат перечислению в доходы бюджета Пировского района не позднее 20.01.2021 года.</w:t>
      </w:r>
    </w:p>
    <w:p w:rsidR="00940708" w:rsidRDefault="00940708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5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выявления муниципального долга Пировского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Бушуйского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сельского поселения, Пировского сельского поселения,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сельского поселения, Троицкого сельского поселения,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сельского поселения Пировский муниципальный округ Красноярского края является правопреемником и обеспечивает управление указанным муниципальным долгом.</w:t>
      </w:r>
    </w:p>
    <w:p w:rsidR="00940708" w:rsidRDefault="00940708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B58F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учредителя муниципальных учреждений Пировского района переходят к Пировскому муниципальному округу Красноярского края</w:t>
      </w:r>
      <w:r w:rsidR="0046553F">
        <w:rPr>
          <w:sz w:val="28"/>
          <w:szCs w:val="28"/>
        </w:rPr>
        <w:t>, в лице администрации Пировского муниципального округа</w:t>
      </w:r>
      <w:r>
        <w:rPr>
          <w:sz w:val="28"/>
          <w:szCs w:val="28"/>
        </w:rPr>
        <w:t>.</w:t>
      </w:r>
    </w:p>
    <w:p w:rsidR="00940708" w:rsidRDefault="0046553F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Пировского муниципального округа самостоятельно на основании муниципального правового акта администрации Пировского муниципального округа определяет структурные подразделения администрации Пировского муниципального округа, в том числе наделенные правами юридического лица, которые от ее имени осуществляют функции и полномочия учредителей соответствующих учреждений Пировского района.</w:t>
      </w:r>
    </w:p>
    <w:p w:rsidR="007C2C02" w:rsidRDefault="007C2C02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2C02">
        <w:rPr>
          <w:sz w:val="28"/>
          <w:szCs w:val="28"/>
        </w:rPr>
        <w:t>Контроль за исполнения настоящего решения возложить на председателя Пировского окружного Совета депутатов.</w:t>
      </w:r>
    </w:p>
    <w:p w:rsidR="0046553F" w:rsidRDefault="007C2C02" w:rsidP="005F3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553F">
        <w:rPr>
          <w:sz w:val="28"/>
          <w:szCs w:val="28"/>
        </w:rPr>
        <w:t>.</w:t>
      </w:r>
      <w:r w:rsidR="001B58FB">
        <w:rPr>
          <w:sz w:val="28"/>
          <w:szCs w:val="28"/>
        </w:rPr>
        <w:t xml:space="preserve"> </w:t>
      </w:r>
      <w:r w:rsidR="0046553F">
        <w:rPr>
          <w:sz w:val="28"/>
          <w:szCs w:val="28"/>
        </w:rPr>
        <w:t xml:space="preserve">Опубликовать настоящее решение в газете «Заря» и разместить на официальном сайте администрации Пировского района </w:t>
      </w:r>
      <w:hyperlink r:id="rId6" w:history="1">
        <w:r w:rsidR="0046553F" w:rsidRPr="00490441">
          <w:rPr>
            <w:rStyle w:val="a8"/>
            <w:sz w:val="28"/>
            <w:szCs w:val="28"/>
            <w:lang w:val="en-US"/>
          </w:rPr>
          <w:t>www</w:t>
        </w:r>
        <w:r w:rsidR="0046553F" w:rsidRPr="00490441">
          <w:rPr>
            <w:rStyle w:val="a8"/>
            <w:sz w:val="28"/>
            <w:szCs w:val="28"/>
          </w:rPr>
          <w:t>.</w:t>
        </w:r>
        <w:proofErr w:type="spellStart"/>
        <w:r w:rsidR="0046553F" w:rsidRPr="00490441">
          <w:rPr>
            <w:rStyle w:val="a8"/>
            <w:sz w:val="28"/>
            <w:szCs w:val="28"/>
            <w:lang w:val="en-US"/>
          </w:rPr>
          <w:t>piradm</w:t>
        </w:r>
        <w:proofErr w:type="spellEnd"/>
        <w:r w:rsidR="0046553F" w:rsidRPr="00490441">
          <w:rPr>
            <w:rStyle w:val="a8"/>
            <w:sz w:val="28"/>
            <w:szCs w:val="28"/>
          </w:rPr>
          <w:t>.</w:t>
        </w:r>
        <w:proofErr w:type="spellStart"/>
        <w:r w:rsidR="0046553F" w:rsidRPr="0049044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46553F">
        <w:rPr>
          <w:sz w:val="28"/>
          <w:szCs w:val="28"/>
        </w:rPr>
        <w:t>.</w:t>
      </w:r>
      <w:r w:rsidR="0046553F" w:rsidRPr="0046553F">
        <w:rPr>
          <w:sz w:val="28"/>
          <w:szCs w:val="28"/>
        </w:rPr>
        <w:t xml:space="preserve"> </w:t>
      </w:r>
    </w:p>
    <w:p w:rsidR="0037132F" w:rsidRPr="006B0448" w:rsidRDefault="007C2C02" w:rsidP="007C2C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553F">
        <w:rPr>
          <w:sz w:val="28"/>
          <w:szCs w:val="28"/>
        </w:rPr>
        <w:t>.</w:t>
      </w:r>
      <w:r w:rsidR="001B58FB">
        <w:rPr>
          <w:sz w:val="28"/>
          <w:szCs w:val="28"/>
        </w:rPr>
        <w:t xml:space="preserve"> </w:t>
      </w:r>
      <w:r w:rsidR="0046553F">
        <w:rPr>
          <w:sz w:val="28"/>
          <w:szCs w:val="28"/>
        </w:rPr>
        <w:t>Настоящее решение вступает в силу с момента официального опубликования и распространяется на правоотношения, возникшие с 19.11.2020, за исключением пунктов 1, 5</w:t>
      </w:r>
      <w:r w:rsidR="0046553F" w:rsidRPr="0046553F">
        <w:rPr>
          <w:sz w:val="28"/>
          <w:szCs w:val="28"/>
        </w:rPr>
        <w:t xml:space="preserve"> </w:t>
      </w:r>
      <w:r w:rsidR="0046553F">
        <w:rPr>
          <w:sz w:val="28"/>
          <w:szCs w:val="28"/>
        </w:rPr>
        <w:t>вступающих в силу со дня формирования соответствующих органов местного самоуправления Пировского муниципального округа Красноярского края.</w:t>
      </w:r>
      <w:r w:rsidR="0037132F">
        <w:rPr>
          <w:sz w:val="28"/>
          <w:szCs w:val="28"/>
        </w:rPr>
        <w:t xml:space="preserve"> </w:t>
      </w:r>
    </w:p>
    <w:p w:rsidR="00805F40" w:rsidRDefault="00805F40" w:rsidP="00805F40">
      <w:pPr>
        <w:jc w:val="both"/>
        <w:rPr>
          <w:sz w:val="28"/>
          <w:szCs w:val="28"/>
        </w:rPr>
      </w:pPr>
    </w:p>
    <w:p w:rsidR="00805F40" w:rsidRDefault="00805F40" w:rsidP="00805F4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05F40" w:rsidTr="00805F40">
        <w:tc>
          <w:tcPr>
            <w:tcW w:w="4677" w:type="dxa"/>
            <w:hideMark/>
          </w:tcPr>
          <w:p w:rsidR="00805F40" w:rsidRDefault="00805F40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805F40" w:rsidRDefault="00805F40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</w:tc>
        <w:tc>
          <w:tcPr>
            <w:tcW w:w="4678" w:type="dxa"/>
            <w:hideMark/>
          </w:tcPr>
          <w:p w:rsidR="00805F40" w:rsidRDefault="00805F40" w:rsidP="00344619">
            <w:pPr>
              <w:spacing w:line="252" w:lineRule="auto"/>
              <w:ind w:left="1027" w:hanging="1027"/>
              <w:rPr>
                <w:lang w:eastAsia="en-US"/>
              </w:rPr>
            </w:pPr>
            <w:r>
              <w:rPr>
                <w:rStyle w:val="21"/>
                <w:i w:val="0"/>
                <w:sz w:val="28"/>
                <w:szCs w:val="28"/>
              </w:rPr>
              <w:t xml:space="preserve">          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="00344619">
              <w:rPr>
                <w:rStyle w:val="21"/>
                <w:sz w:val="28"/>
                <w:szCs w:val="28"/>
              </w:rPr>
              <w:t xml:space="preserve">   </w:t>
            </w:r>
            <w:r>
              <w:rPr>
                <w:rStyle w:val="21"/>
                <w:i w:val="0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 xml:space="preserve">Пировского </w:t>
            </w:r>
            <w:r w:rsidR="001B58FB">
              <w:rPr>
                <w:sz w:val="28"/>
                <w:szCs w:val="28"/>
                <w:lang w:eastAsia="en-US"/>
              </w:rPr>
              <w:t xml:space="preserve">              </w:t>
            </w:r>
            <w:r w:rsidR="00344619">
              <w:rPr>
                <w:sz w:val="28"/>
                <w:szCs w:val="28"/>
                <w:lang w:eastAsia="en-US"/>
              </w:rPr>
              <w:t xml:space="preserve">  </w:t>
            </w:r>
            <w:r w:rsidR="001B58FB">
              <w:rPr>
                <w:sz w:val="28"/>
                <w:szCs w:val="28"/>
                <w:lang w:eastAsia="en-US"/>
              </w:rPr>
              <w:t>муниципального округа</w:t>
            </w:r>
          </w:p>
        </w:tc>
      </w:tr>
      <w:tr w:rsidR="00805F40" w:rsidTr="00805F40">
        <w:trPr>
          <w:trHeight w:val="463"/>
        </w:trPr>
        <w:tc>
          <w:tcPr>
            <w:tcW w:w="4677" w:type="dxa"/>
          </w:tcPr>
          <w:p w:rsidR="00805F40" w:rsidRDefault="00805F40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</w:t>
            </w:r>
            <w:r w:rsidR="001B58FB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Костыгина</w:t>
            </w:r>
            <w:proofErr w:type="spellEnd"/>
          </w:p>
        </w:tc>
        <w:tc>
          <w:tcPr>
            <w:tcW w:w="4678" w:type="dxa"/>
          </w:tcPr>
          <w:p w:rsidR="00805F40" w:rsidRDefault="00805F40" w:rsidP="001B58F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___________ А.И.</w:t>
            </w:r>
            <w:r w:rsidR="001B58F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Евсеев</w:t>
            </w:r>
          </w:p>
        </w:tc>
      </w:tr>
    </w:tbl>
    <w:p w:rsidR="00805F40" w:rsidRDefault="00805F40" w:rsidP="00805F40">
      <w:pPr>
        <w:jc w:val="both"/>
        <w:rPr>
          <w:sz w:val="28"/>
          <w:szCs w:val="28"/>
        </w:rPr>
      </w:pPr>
    </w:p>
    <w:p w:rsidR="00805F40" w:rsidRDefault="00805F40" w:rsidP="00805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05F40" w:rsidRDefault="00805F40" w:rsidP="00805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05F40" w:rsidRDefault="00805F40" w:rsidP="00805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05F40" w:rsidRDefault="00805F40" w:rsidP="00805F40"/>
    <w:p w:rsidR="00250311" w:rsidRDefault="00382F8D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p w:rsidR="00F918C4" w:rsidRDefault="00F918C4"/>
    <w:sectPr w:rsidR="00F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83"/>
    <w:rsid w:val="00061C27"/>
    <w:rsid w:val="001B58FB"/>
    <w:rsid w:val="00230C6E"/>
    <w:rsid w:val="00330788"/>
    <w:rsid w:val="00333E19"/>
    <w:rsid w:val="00344619"/>
    <w:rsid w:val="0037132F"/>
    <w:rsid w:val="0037555D"/>
    <w:rsid w:val="00382F8D"/>
    <w:rsid w:val="00457E7E"/>
    <w:rsid w:val="0046553F"/>
    <w:rsid w:val="00536C9A"/>
    <w:rsid w:val="005F3F16"/>
    <w:rsid w:val="006176F3"/>
    <w:rsid w:val="006B0448"/>
    <w:rsid w:val="007A2509"/>
    <w:rsid w:val="007C2C02"/>
    <w:rsid w:val="007C7AA7"/>
    <w:rsid w:val="00805F40"/>
    <w:rsid w:val="00857963"/>
    <w:rsid w:val="008B662A"/>
    <w:rsid w:val="008D68A5"/>
    <w:rsid w:val="008E1922"/>
    <w:rsid w:val="00940708"/>
    <w:rsid w:val="009B59DA"/>
    <w:rsid w:val="00A95A42"/>
    <w:rsid w:val="00B002BA"/>
    <w:rsid w:val="00B3249E"/>
    <w:rsid w:val="00B40A2C"/>
    <w:rsid w:val="00C943EB"/>
    <w:rsid w:val="00EB5BC0"/>
    <w:rsid w:val="00F03783"/>
    <w:rsid w:val="00F33A73"/>
    <w:rsid w:val="00F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B080-5DDE-4715-B692-D35EDC89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05F40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F40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805F4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ext-align-right">
    <w:name w:val="text-align-right"/>
    <w:basedOn w:val="a"/>
    <w:rsid w:val="00F918C4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F918C4"/>
    <w:rPr>
      <w:i/>
      <w:iCs/>
    </w:rPr>
  </w:style>
  <w:style w:type="paragraph" w:customStyle="1" w:styleId="text-align-center">
    <w:name w:val="text-align-center"/>
    <w:basedOn w:val="a"/>
    <w:rsid w:val="00F918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18C4"/>
    <w:rPr>
      <w:b/>
      <w:bCs/>
    </w:rPr>
  </w:style>
  <w:style w:type="paragraph" w:customStyle="1" w:styleId="text-align-justify">
    <w:name w:val="text-align-justify"/>
    <w:basedOn w:val="a"/>
    <w:rsid w:val="00F918C4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F91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1C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C2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65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ir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E954-8726-4A97-93F0-0227C3B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7</cp:revision>
  <cp:lastPrinted>2020-12-10T02:25:00Z</cp:lastPrinted>
  <dcterms:created xsi:type="dcterms:W3CDTF">2020-12-10T02:10:00Z</dcterms:created>
  <dcterms:modified xsi:type="dcterms:W3CDTF">2020-12-15T05:46:00Z</dcterms:modified>
</cp:coreProperties>
</file>