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00242C" w:rsidRDefault="001233DA" w:rsidP="0022741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00242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00242C" w:rsidRDefault="00126E48" w:rsidP="0022741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42C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00242C" w:rsidRDefault="00B27BE6" w:rsidP="0022741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42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00242C" w:rsidRDefault="00B27BE6" w:rsidP="0022741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42C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00242C" w:rsidRDefault="001233DA" w:rsidP="0022741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00242C" w:rsidRDefault="001233DA" w:rsidP="0022741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42C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00242C" w:rsidRDefault="001233DA" w:rsidP="0022741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036E" w:rsidRPr="0000242C" w:rsidTr="006601CD">
        <w:tc>
          <w:tcPr>
            <w:tcW w:w="3190" w:type="dxa"/>
          </w:tcPr>
          <w:p w:rsidR="001233DA" w:rsidRPr="0000242C" w:rsidRDefault="0000242C" w:rsidP="00773217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42C">
              <w:rPr>
                <w:rFonts w:ascii="Arial" w:hAnsi="Arial" w:cs="Arial"/>
                <w:sz w:val="24"/>
                <w:szCs w:val="24"/>
              </w:rPr>
              <w:t>08.02.</w:t>
            </w:r>
            <w:r w:rsidR="0090036E" w:rsidRPr="0000242C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190" w:type="dxa"/>
          </w:tcPr>
          <w:p w:rsidR="001233DA" w:rsidRPr="0000242C" w:rsidRDefault="001233DA" w:rsidP="0022741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242C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00242C" w:rsidRDefault="0000242C" w:rsidP="00773217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42C">
              <w:rPr>
                <w:rFonts w:ascii="Arial" w:hAnsi="Arial" w:cs="Arial"/>
                <w:sz w:val="24"/>
                <w:szCs w:val="24"/>
              </w:rPr>
              <w:t>№39-п</w:t>
            </w:r>
          </w:p>
        </w:tc>
      </w:tr>
    </w:tbl>
    <w:p w:rsidR="001233DA" w:rsidRPr="0000242C" w:rsidRDefault="001233DA" w:rsidP="0022741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22741B" w:rsidRPr="0000242C" w:rsidRDefault="0022741B" w:rsidP="002274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Об установлении получателем средств бюджета</w:t>
      </w:r>
      <w:r w:rsidR="00854045" w:rsidRPr="0000242C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Pr="0000242C">
        <w:rPr>
          <w:rFonts w:ascii="Arial" w:hAnsi="Arial" w:cs="Arial"/>
          <w:sz w:val="24"/>
          <w:szCs w:val="24"/>
        </w:rPr>
        <w:t xml:space="preserve"> размера предварительной оплаты при заключении им договоров (контрактов) на поставку товаров, выполнения работ, оказания услуг, подлежащих оплате за счет средств бюджета</w:t>
      </w:r>
      <w:r w:rsidR="00854045" w:rsidRPr="0000242C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="0090036E" w:rsidRPr="0000242C">
        <w:rPr>
          <w:rFonts w:ascii="Arial" w:hAnsi="Arial" w:cs="Arial"/>
          <w:sz w:val="24"/>
          <w:szCs w:val="24"/>
        </w:rPr>
        <w:t xml:space="preserve"> на 2024 год</w:t>
      </w:r>
    </w:p>
    <w:p w:rsidR="0022741B" w:rsidRPr="0000242C" w:rsidRDefault="0022741B" w:rsidP="002274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741B" w:rsidRPr="0000242C" w:rsidRDefault="0022741B" w:rsidP="002518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42C">
        <w:rPr>
          <w:rFonts w:ascii="Arial" w:hAnsi="Arial" w:cs="Arial"/>
          <w:color w:val="000000" w:themeColor="text1"/>
          <w:sz w:val="24"/>
          <w:szCs w:val="24"/>
        </w:rPr>
        <w:t>В соответствии с п. 5 ст. 3, п. 1 ст. 9, ст. 65 Бюджетного кодекса Российской Федерации, п.4 ст.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руководствуясь ст. 11 Устава Пировского муниципального округа Красноярского края, ПОСТАНОВЛЯЮ:</w:t>
      </w:r>
    </w:p>
    <w:p w:rsidR="0022741B" w:rsidRPr="0000242C" w:rsidRDefault="0022741B" w:rsidP="002518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42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ab/>
        <w:t xml:space="preserve"> Установить, что получатель средств бюджета </w:t>
      </w:r>
      <w:r w:rsidR="00854045" w:rsidRPr="0000242C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B3137E" w:rsidRPr="0000242C">
        <w:rPr>
          <w:rFonts w:ascii="Arial" w:hAnsi="Arial" w:cs="Arial"/>
          <w:sz w:val="24"/>
          <w:szCs w:val="24"/>
        </w:rPr>
        <w:t xml:space="preserve"> в 2024 году</w:t>
      </w:r>
      <w:r w:rsidR="00854045" w:rsidRPr="000024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 xml:space="preserve">при заключении подлежащих оплате за счет средств бюджета </w:t>
      </w:r>
      <w:r w:rsidR="00854045" w:rsidRPr="0000242C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854045" w:rsidRPr="000024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>договоров (контрактов) на поставку товаров, выполнение работ, оказание услуг предусматривает условия оплаты по факту поставки товаров, выполнения работ, оказания услуг. Установление условия частичной или полной предоплаты возможно в следующих случаях:</w:t>
      </w:r>
    </w:p>
    <w:p w:rsidR="0022741B" w:rsidRPr="0000242C" w:rsidRDefault="0022741B" w:rsidP="002518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42C">
        <w:rPr>
          <w:rFonts w:ascii="Arial" w:hAnsi="Arial" w:cs="Arial"/>
          <w:color w:val="000000" w:themeColor="text1"/>
          <w:sz w:val="24"/>
          <w:szCs w:val="24"/>
        </w:rPr>
        <w:t>1.1.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ab/>
        <w:t xml:space="preserve"> При оплате товаров (работ, услуг) в размере 100 процентов от суммы договора (контракта) на поставку товаров, выполнение работ, оказание услуг, заключенного в соответствии с п.4 ч. 1 ст.93 Федерального закона от 05.04.2013 №44- ФЗ «О контрактной системе в сфере закупок товаров, работ, услуг для обеспечения государственных и муниципальных нужд», но не более лимитов бюджетных обязательств, подлежащих исполнению за счет средств бюджета </w:t>
      </w:r>
      <w:r w:rsidR="00854045" w:rsidRPr="0000242C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854045" w:rsidRPr="000024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>в соответствующем финансовом году.</w:t>
      </w:r>
    </w:p>
    <w:p w:rsidR="0022741B" w:rsidRPr="0000242C" w:rsidRDefault="0022741B" w:rsidP="002518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42C">
        <w:rPr>
          <w:rFonts w:ascii="Arial" w:hAnsi="Arial" w:cs="Arial"/>
          <w:color w:val="000000" w:themeColor="text1"/>
          <w:sz w:val="24"/>
          <w:szCs w:val="24"/>
        </w:rPr>
        <w:t>1.2.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ab/>
        <w:t xml:space="preserve"> При оплате товаров (работ, услуг) 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исполнению за счет средств бюджета </w:t>
      </w:r>
      <w:r w:rsidR="00854045" w:rsidRPr="0000242C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854045" w:rsidRPr="000024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>в соответствующем финансовом году, в соответствии с Перечнем товаров, работ и услуг, авансовые платежи по которым могут предусматриваться в размере 100 процентов от суммы договора (контракта), согласно приложению к настоящему Постановлению.</w:t>
      </w:r>
    </w:p>
    <w:p w:rsidR="0022741B" w:rsidRPr="0000242C" w:rsidRDefault="0022741B" w:rsidP="002518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42C">
        <w:rPr>
          <w:rFonts w:ascii="Arial" w:hAnsi="Arial" w:cs="Arial"/>
          <w:color w:val="000000" w:themeColor="text1"/>
          <w:sz w:val="24"/>
          <w:szCs w:val="24"/>
        </w:rPr>
        <w:t>1.3.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ab/>
        <w:t xml:space="preserve"> При оплате товаров (работ, услуг) в размере до 30 процентов от суммы договора (контракта), но не более лимитов бюджетных обязательств, подлежащих исполнению за счет средств бюджета </w:t>
      </w:r>
      <w:r w:rsidR="00854045" w:rsidRPr="0000242C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854045" w:rsidRPr="000024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>в соответствующем финансовом году, если иное не предусмотрено законодательством Российской Федерации, по остальным договорам (контрактам).</w:t>
      </w:r>
    </w:p>
    <w:p w:rsidR="001233DA" w:rsidRPr="0000242C" w:rsidRDefault="0022741B" w:rsidP="002518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42C">
        <w:rPr>
          <w:rFonts w:ascii="Arial" w:hAnsi="Arial" w:cs="Arial"/>
          <w:color w:val="000000" w:themeColor="text1"/>
          <w:sz w:val="24"/>
          <w:szCs w:val="24"/>
        </w:rPr>
        <w:t>2</w:t>
      </w:r>
      <w:r w:rsidR="00B3137E" w:rsidRPr="0000242C">
        <w:rPr>
          <w:rFonts w:ascii="Arial" w:hAnsi="Arial" w:cs="Arial"/>
          <w:color w:val="000000" w:themeColor="text1"/>
          <w:sz w:val="24"/>
          <w:szCs w:val="24"/>
        </w:rPr>
        <w:t>.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 xml:space="preserve">Контроль за исполнением настоящего </w:t>
      </w:r>
      <w:r w:rsidR="00B3137E" w:rsidRPr="0000242C">
        <w:rPr>
          <w:rFonts w:ascii="Arial" w:hAnsi="Arial" w:cs="Arial"/>
          <w:color w:val="000000" w:themeColor="text1"/>
          <w:sz w:val="24"/>
          <w:szCs w:val="24"/>
        </w:rPr>
        <w:t>п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>остановления оставляю за собой.</w:t>
      </w:r>
      <w:r w:rsidR="001233DA" w:rsidRPr="000024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2741B" w:rsidRPr="0000242C" w:rsidRDefault="0022741B" w:rsidP="002518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42C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</w:t>
      </w:r>
      <w:r w:rsidR="00B3137E" w:rsidRPr="0000242C">
        <w:rPr>
          <w:rFonts w:ascii="Arial" w:hAnsi="Arial" w:cs="Arial"/>
          <w:color w:val="000000" w:themeColor="text1"/>
          <w:sz w:val="24"/>
          <w:szCs w:val="24"/>
        </w:rPr>
        <w:t>с момента подписания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3F11C3" w:rsidRPr="0000242C">
        <w:rPr>
          <w:rFonts w:ascii="Arial" w:hAnsi="Arial" w:cs="Arial"/>
          <w:color w:val="000000" w:themeColor="text1"/>
          <w:sz w:val="24"/>
          <w:szCs w:val="24"/>
        </w:rPr>
        <w:t>подлежит официальному</w:t>
      </w:r>
      <w:r w:rsidRPr="0000242C">
        <w:rPr>
          <w:rFonts w:ascii="Arial" w:hAnsi="Arial" w:cs="Arial"/>
          <w:color w:val="000000" w:themeColor="text1"/>
          <w:sz w:val="24"/>
          <w:szCs w:val="24"/>
        </w:rPr>
        <w:t xml:space="preserve"> опубликованию в газете «Заря».</w:t>
      </w:r>
    </w:p>
    <w:p w:rsidR="001233DA" w:rsidRPr="0000242C" w:rsidRDefault="001233DA" w:rsidP="0022741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00242C" w:rsidTr="006601CD">
        <w:tc>
          <w:tcPr>
            <w:tcW w:w="4785" w:type="dxa"/>
          </w:tcPr>
          <w:p w:rsidR="00FF6923" w:rsidRPr="0000242C" w:rsidRDefault="001233DA" w:rsidP="0022741B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0242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00242C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FF6923" w:rsidRPr="000024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3DA" w:rsidRPr="0000242C" w:rsidRDefault="00FF6923" w:rsidP="0022741B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0242C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</w:t>
            </w:r>
            <w:r w:rsidR="00126E48" w:rsidRPr="0000242C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FF6923" w:rsidRPr="0000242C" w:rsidRDefault="00FF6923" w:rsidP="0022741B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00242C" w:rsidRDefault="001233DA" w:rsidP="0022741B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0242C">
              <w:rPr>
                <w:rFonts w:ascii="Arial" w:hAnsi="Arial" w:cs="Arial"/>
                <w:sz w:val="24"/>
                <w:szCs w:val="24"/>
              </w:rPr>
              <w:lastRenderedPageBreak/>
              <w:t>А.И.</w:t>
            </w:r>
            <w:r w:rsidR="00251835" w:rsidRPr="000024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242C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:rsidR="001233DA" w:rsidRPr="0000242C" w:rsidRDefault="001233DA" w:rsidP="0022741B">
      <w:pPr>
        <w:spacing w:after="1" w:line="240" w:lineRule="auto"/>
        <w:outlineLvl w:val="0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lastRenderedPageBreak/>
        <w:t xml:space="preserve">                  </w:t>
      </w:r>
    </w:p>
    <w:p w:rsidR="001233DA" w:rsidRPr="0000242C" w:rsidRDefault="001233DA" w:rsidP="0022741B">
      <w:pPr>
        <w:spacing w:after="1" w:line="240" w:lineRule="auto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00242C" w:rsidRDefault="001233DA" w:rsidP="0022741B">
      <w:pPr>
        <w:spacing w:after="1" w:line="240" w:lineRule="auto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00242C" w:rsidRDefault="001233DA" w:rsidP="0022741B">
      <w:pPr>
        <w:spacing w:after="1" w:line="240" w:lineRule="auto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00242C" w:rsidRDefault="001233DA" w:rsidP="0022741B">
      <w:pPr>
        <w:spacing w:after="1" w:line="240" w:lineRule="auto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22741B" w:rsidRPr="0000242C" w:rsidRDefault="0022741B">
      <w:pPr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br w:type="page"/>
      </w:r>
    </w:p>
    <w:p w:rsidR="003F11C3" w:rsidRPr="0000242C" w:rsidRDefault="003F11C3" w:rsidP="003F11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F11C3" w:rsidRPr="0000242C" w:rsidRDefault="003F11C3" w:rsidP="003F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 xml:space="preserve">к </w:t>
      </w:r>
      <w:r w:rsidR="00B3137E" w:rsidRPr="0000242C">
        <w:rPr>
          <w:rFonts w:ascii="Arial" w:hAnsi="Arial" w:cs="Arial"/>
          <w:sz w:val="24"/>
          <w:szCs w:val="24"/>
        </w:rPr>
        <w:t>п</w:t>
      </w:r>
      <w:r w:rsidRPr="0000242C">
        <w:rPr>
          <w:rFonts w:ascii="Arial" w:hAnsi="Arial" w:cs="Arial"/>
          <w:sz w:val="24"/>
          <w:szCs w:val="24"/>
        </w:rPr>
        <w:t>остановлению</w:t>
      </w:r>
    </w:p>
    <w:p w:rsidR="003F11C3" w:rsidRPr="0000242C" w:rsidRDefault="003F11C3" w:rsidP="003F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</w:p>
    <w:p w:rsidR="003F11C3" w:rsidRPr="0000242C" w:rsidRDefault="00B3137E" w:rsidP="003F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«____» ______2024 №______</w:t>
      </w:r>
    </w:p>
    <w:p w:rsidR="003F11C3" w:rsidRPr="0000242C" w:rsidRDefault="003F11C3" w:rsidP="003F1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11C3" w:rsidRPr="0000242C" w:rsidRDefault="003F11C3" w:rsidP="003F1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32"/>
      <w:bookmarkEnd w:id="1"/>
      <w:r w:rsidRPr="0000242C">
        <w:rPr>
          <w:rFonts w:ascii="Arial" w:hAnsi="Arial" w:cs="Arial"/>
          <w:sz w:val="24"/>
          <w:szCs w:val="24"/>
        </w:rPr>
        <w:t>ПЕРЕЧЕНЬ</w:t>
      </w:r>
    </w:p>
    <w:p w:rsidR="003F11C3" w:rsidRPr="0000242C" w:rsidRDefault="003F11C3" w:rsidP="003F1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ТОВАРОВ, РАБОТ И УСЛУГ, АВАНСОВЫЕ ПЛАТЕЖИ</w:t>
      </w:r>
    </w:p>
    <w:p w:rsidR="003F11C3" w:rsidRPr="0000242C" w:rsidRDefault="003F11C3" w:rsidP="003F1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ПО КОТОРЫМ МОГУТ ПРЕДУСМАТРИВАТЬСЯ В РАЗМЕРЕ 100 ПРОЦЕНТОВ</w:t>
      </w:r>
    </w:p>
    <w:p w:rsidR="003F11C3" w:rsidRPr="0000242C" w:rsidRDefault="003F11C3" w:rsidP="003F1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ОТ СУММЫ ДОГОВОРА (КОНТРАКТА)</w:t>
      </w:r>
    </w:p>
    <w:p w:rsidR="003F11C3" w:rsidRPr="0000242C" w:rsidRDefault="003F11C3" w:rsidP="003F1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подписке на периодические издания, услуги почтовой связи.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обучению на курсах повышения квалификации, взносы на участие в семинарах, соревнованиях, конференциях, выставках.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 xml:space="preserve">Приобретение ученических медалей, учебно-педагогической и </w:t>
      </w:r>
      <w:proofErr w:type="spellStart"/>
      <w:r w:rsidRPr="0000242C">
        <w:rPr>
          <w:rFonts w:ascii="Arial" w:hAnsi="Arial" w:cs="Arial"/>
          <w:sz w:val="24"/>
          <w:szCs w:val="24"/>
        </w:rPr>
        <w:t>аттестационно</w:t>
      </w:r>
      <w:proofErr w:type="spellEnd"/>
      <w:r w:rsidRPr="0000242C">
        <w:rPr>
          <w:rFonts w:ascii="Arial" w:hAnsi="Arial" w:cs="Arial"/>
          <w:sz w:val="24"/>
          <w:szCs w:val="24"/>
        </w:rPr>
        <w:t>-бланочной документации.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Мероприятия по организации трудового воспитания несовершеннолетних граждан в возрасте от 14 до 18 лет.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Путевки в детские оздоровительные лагеря.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Билеты на посещение краевых и муниципальных учреждений культуры.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организации и проведению мероприятий (концертов) приглашенными коллективами, исполнителями.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сотовой связи, стационарной телефонной связи, Интернета.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экспертизе оргтехники и оборудования.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санитарным эпидемиологическим и гигиеническим исследованиям.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техническому учету объектов недвижимости.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0242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00242C">
        <w:rPr>
          <w:rFonts w:ascii="Arial" w:hAnsi="Arial" w:cs="Arial"/>
          <w:sz w:val="24"/>
          <w:szCs w:val="24"/>
        </w:rPr>
        <w:t xml:space="preserve"> по договорам с организациями, действующими от имени и по поручению краевых органов исполнительной власти и уполномоченными совершать необходимые действия для эффективной реализации краевых проектов.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Приобретение цветов, наградной продукции.</w:t>
      </w:r>
    </w:p>
    <w:p w:rsidR="003F11C3" w:rsidRPr="0000242C" w:rsidRDefault="003F11C3" w:rsidP="003F11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42C">
        <w:rPr>
          <w:rFonts w:ascii="Arial" w:hAnsi="Arial" w:cs="Arial"/>
          <w:sz w:val="24"/>
          <w:szCs w:val="24"/>
        </w:rPr>
        <w:t>Услуги по организации отдыха и оздоровления детей.</w:t>
      </w:r>
    </w:p>
    <w:bookmarkEnd w:id="0"/>
    <w:p w:rsidR="00ED0407" w:rsidRPr="0000242C" w:rsidRDefault="00ED0407" w:rsidP="0022741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D0407" w:rsidRPr="0000242C" w:rsidSect="009003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94D74"/>
    <w:multiLevelType w:val="hybridMultilevel"/>
    <w:tmpl w:val="BF584A56"/>
    <w:lvl w:ilvl="0" w:tplc="010EF13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242C"/>
    <w:rsid w:val="001233DA"/>
    <w:rsid w:val="00126E48"/>
    <w:rsid w:val="0022741B"/>
    <w:rsid w:val="00251835"/>
    <w:rsid w:val="00256F15"/>
    <w:rsid w:val="002D483E"/>
    <w:rsid w:val="003F11C3"/>
    <w:rsid w:val="004951E1"/>
    <w:rsid w:val="00773217"/>
    <w:rsid w:val="00854045"/>
    <w:rsid w:val="0090036E"/>
    <w:rsid w:val="00B27BE6"/>
    <w:rsid w:val="00B3137E"/>
    <w:rsid w:val="00ED0407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D27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1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11</cp:revision>
  <cp:lastPrinted>2024-02-07T09:07:00Z</cp:lastPrinted>
  <dcterms:created xsi:type="dcterms:W3CDTF">2021-01-15T02:15:00Z</dcterms:created>
  <dcterms:modified xsi:type="dcterms:W3CDTF">2024-02-16T07:32:00Z</dcterms:modified>
</cp:coreProperties>
</file>