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A5" w:rsidRPr="00C13285" w:rsidRDefault="008413A5" w:rsidP="008413A5">
      <w:pPr>
        <w:pStyle w:val="ConsPlusNormal"/>
        <w:widowControl/>
        <w:ind w:firstLine="0"/>
        <w:jc w:val="both"/>
        <w:rPr>
          <w:b/>
          <w:sz w:val="24"/>
          <w:szCs w:val="24"/>
        </w:rPr>
      </w:pPr>
      <w:bookmarkStart w:id="0" w:name="_GoBack"/>
    </w:p>
    <w:p w:rsidR="008413A5" w:rsidRPr="00C13285" w:rsidRDefault="008413A5" w:rsidP="008413A5">
      <w:pPr>
        <w:pStyle w:val="1"/>
        <w:jc w:val="center"/>
        <w:rPr>
          <w:rFonts w:ascii="Arial" w:hAnsi="Arial" w:cs="Arial"/>
        </w:rPr>
      </w:pPr>
      <w:r w:rsidRPr="00C13285">
        <w:rPr>
          <w:rFonts w:ascii="Arial" w:hAnsi="Arial" w:cs="Arial"/>
          <w:noProof/>
          <w:u w:val="none"/>
        </w:rPr>
        <w:drawing>
          <wp:inline distT="0" distB="0" distL="0" distR="0">
            <wp:extent cx="525145" cy="6756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5145" cy="675640"/>
                    </a:xfrm>
                    <a:prstGeom prst="rect">
                      <a:avLst/>
                    </a:prstGeom>
                    <a:noFill/>
                    <a:ln>
                      <a:noFill/>
                    </a:ln>
                  </pic:spPr>
                </pic:pic>
              </a:graphicData>
            </a:graphic>
          </wp:inline>
        </w:drawing>
      </w:r>
    </w:p>
    <w:p w:rsidR="008413A5" w:rsidRPr="00C13285" w:rsidRDefault="008413A5" w:rsidP="008413A5">
      <w:pPr>
        <w:pStyle w:val="1"/>
        <w:jc w:val="center"/>
        <w:rPr>
          <w:rFonts w:ascii="Arial" w:hAnsi="Arial" w:cs="Arial"/>
          <w:b/>
          <w:u w:val="none"/>
        </w:rPr>
      </w:pPr>
      <w:r w:rsidRPr="00C13285">
        <w:rPr>
          <w:rFonts w:ascii="Arial" w:hAnsi="Arial" w:cs="Arial"/>
          <w:b/>
          <w:u w:val="none"/>
        </w:rPr>
        <w:t>АДМИНИСТРАЦИЯ ПИРОВСКОГО РАЙОНА</w:t>
      </w:r>
    </w:p>
    <w:p w:rsidR="008413A5" w:rsidRPr="00C13285" w:rsidRDefault="008413A5" w:rsidP="008413A5">
      <w:pPr>
        <w:pStyle w:val="1"/>
        <w:jc w:val="center"/>
        <w:rPr>
          <w:rFonts w:ascii="Arial" w:hAnsi="Arial" w:cs="Arial"/>
          <w:b/>
          <w:u w:val="none"/>
        </w:rPr>
      </w:pPr>
      <w:r w:rsidRPr="00C13285">
        <w:rPr>
          <w:rFonts w:ascii="Arial" w:hAnsi="Arial" w:cs="Arial"/>
          <w:b/>
          <w:u w:val="none"/>
        </w:rPr>
        <w:t>КРАСНОЯРСКОГО КРАЯ</w:t>
      </w:r>
    </w:p>
    <w:p w:rsidR="008413A5" w:rsidRPr="00C13285" w:rsidRDefault="008413A5" w:rsidP="008413A5">
      <w:pPr>
        <w:spacing w:after="0"/>
        <w:rPr>
          <w:rFonts w:ascii="Arial" w:hAnsi="Arial" w:cs="Arial"/>
          <w:sz w:val="24"/>
          <w:szCs w:val="24"/>
        </w:rPr>
      </w:pPr>
    </w:p>
    <w:p w:rsidR="008413A5" w:rsidRPr="00C13285" w:rsidRDefault="008413A5" w:rsidP="008413A5">
      <w:pPr>
        <w:jc w:val="center"/>
        <w:rPr>
          <w:rFonts w:ascii="Arial" w:hAnsi="Arial" w:cs="Arial"/>
          <w:b/>
          <w:spacing w:val="40"/>
          <w:sz w:val="24"/>
          <w:szCs w:val="24"/>
        </w:rPr>
      </w:pPr>
      <w:r w:rsidRPr="00C13285">
        <w:rPr>
          <w:rFonts w:ascii="Arial" w:hAnsi="Arial" w:cs="Arial"/>
          <w:b/>
          <w:spacing w:val="40"/>
          <w:sz w:val="24"/>
          <w:szCs w:val="24"/>
        </w:rPr>
        <w:t>ПОСТАНОВЛЕНИЕ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27"/>
        <w:gridCol w:w="3205"/>
      </w:tblGrid>
      <w:tr w:rsidR="008413A5" w:rsidRPr="00C13285" w:rsidTr="008413A5">
        <w:tc>
          <w:tcPr>
            <w:tcW w:w="3284" w:type="dxa"/>
            <w:hideMark/>
          </w:tcPr>
          <w:p w:rsidR="008413A5" w:rsidRPr="00C13285" w:rsidRDefault="00C13285">
            <w:pPr>
              <w:pStyle w:val="a4"/>
              <w:rPr>
                <w:rFonts w:ascii="Arial" w:hAnsi="Arial" w:cs="Arial"/>
                <w:bCs/>
                <w:iCs/>
              </w:rPr>
            </w:pPr>
            <w:r w:rsidRPr="00C13285">
              <w:rPr>
                <w:rFonts w:ascii="Arial" w:hAnsi="Arial" w:cs="Arial"/>
                <w:bCs/>
                <w:iCs/>
              </w:rPr>
              <w:t>29</w:t>
            </w:r>
            <w:r w:rsidR="008413A5" w:rsidRPr="00C13285">
              <w:rPr>
                <w:rFonts w:ascii="Arial" w:hAnsi="Arial" w:cs="Arial"/>
                <w:bCs/>
                <w:iCs/>
              </w:rPr>
              <w:t xml:space="preserve"> ноября 2018 г</w:t>
            </w:r>
          </w:p>
        </w:tc>
        <w:tc>
          <w:tcPr>
            <w:tcW w:w="3285" w:type="dxa"/>
            <w:hideMark/>
          </w:tcPr>
          <w:p w:rsidR="008413A5" w:rsidRPr="00C13285" w:rsidRDefault="008413A5">
            <w:pPr>
              <w:pStyle w:val="a4"/>
              <w:jc w:val="center"/>
              <w:rPr>
                <w:rFonts w:ascii="Arial" w:hAnsi="Arial" w:cs="Arial"/>
                <w:bCs/>
                <w:iCs/>
              </w:rPr>
            </w:pPr>
            <w:proofErr w:type="spellStart"/>
            <w:r w:rsidRPr="00C13285">
              <w:rPr>
                <w:rFonts w:ascii="Arial" w:hAnsi="Arial" w:cs="Arial"/>
                <w:bCs/>
                <w:iCs/>
              </w:rPr>
              <w:t>с.Пировское</w:t>
            </w:r>
            <w:proofErr w:type="spellEnd"/>
          </w:p>
        </w:tc>
        <w:tc>
          <w:tcPr>
            <w:tcW w:w="3285" w:type="dxa"/>
            <w:hideMark/>
          </w:tcPr>
          <w:p w:rsidR="008413A5" w:rsidRPr="00C13285" w:rsidRDefault="00C13285">
            <w:pPr>
              <w:pStyle w:val="a4"/>
              <w:jc w:val="right"/>
              <w:rPr>
                <w:rFonts w:ascii="Arial" w:hAnsi="Arial" w:cs="Arial"/>
                <w:bCs/>
                <w:iCs/>
              </w:rPr>
            </w:pPr>
            <w:r w:rsidRPr="00C13285">
              <w:rPr>
                <w:rFonts w:ascii="Arial" w:hAnsi="Arial" w:cs="Arial"/>
                <w:bCs/>
                <w:iCs/>
              </w:rPr>
              <w:t>№355-п</w:t>
            </w:r>
          </w:p>
        </w:tc>
      </w:tr>
    </w:tbl>
    <w:p w:rsidR="008413A5" w:rsidRPr="00C13285" w:rsidRDefault="008413A5" w:rsidP="008413A5">
      <w:pPr>
        <w:pStyle w:val="a4"/>
        <w:rPr>
          <w:rFonts w:ascii="Arial" w:hAnsi="Arial" w:cs="Arial"/>
          <w:b/>
          <w:bCs/>
          <w:i/>
          <w:iCs/>
        </w:rPr>
      </w:pPr>
    </w:p>
    <w:p w:rsidR="008413A5" w:rsidRPr="00C13285" w:rsidRDefault="008413A5" w:rsidP="008413A5">
      <w:pPr>
        <w:pStyle w:val="Style3"/>
        <w:widowControl/>
        <w:spacing w:before="96" w:line="317" w:lineRule="exact"/>
        <w:ind w:firstLine="720"/>
        <w:jc w:val="center"/>
        <w:rPr>
          <w:rStyle w:val="FontStyle13"/>
          <w:rFonts w:ascii="Arial" w:hAnsi="Arial" w:cs="Arial"/>
          <w:sz w:val="24"/>
          <w:szCs w:val="24"/>
        </w:rPr>
      </w:pPr>
      <w:r w:rsidRPr="00C13285">
        <w:rPr>
          <w:rStyle w:val="FontStyle13"/>
          <w:rFonts w:ascii="Arial" w:hAnsi="Arial" w:cs="Arial"/>
          <w:sz w:val="24"/>
          <w:szCs w:val="24"/>
        </w:rPr>
        <w:t>Об утверждении перечня муниципальных услуг, предоставление которых посредством комплексного запроса не осуществляется</w:t>
      </w:r>
    </w:p>
    <w:p w:rsidR="008413A5" w:rsidRPr="00C13285" w:rsidRDefault="008413A5" w:rsidP="008413A5">
      <w:pPr>
        <w:pStyle w:val="Style4"/>
        <w:widowControl/>
        <w:spacing w:line="240" w:lineRule="exact"/>
        <w:rPr>
          <w:rFonts w:ascii="Arial" w:hAnsi="Arial" w:cs="Arial"/>
        </w:rPr>
      </w:pPr>
    </w:p>
    <w:p w:rsidR="008413A5" w:rsidRPr="00C13285" w:rsidRDefault="008413A5" w:rsidP="008413A5">
      <w:pPr>
        <w:pStyle w:val="a5"/>
        <w:ind w:firstLine="709"/>
        <w:rPr>
          <w:rFonts w:ascii="Arial" w:hAnsi="Arial" w:cs="Arial"/>
        </w:rPr>
      </w:pPr>
      <w:r w:rsidRPr="00C13285">
        <w:rPr>
          <w:rFonts w:ascii="Arial" w:hAnsi="Arial" w:cs="Arial"/>
        </w:rPr>
        <w:t>В соответствии с пунктом 13 статьи 15.1 Закона Российской Федерации от 27.07.2010 №210-ФЗ «Об организации предоставления государственных и муниципальных услуг», руководствуясь Уставом Пировского района, ПОСТАНОВЛЯЮ:</w:t>
      </w:r>
    </w:p>
    <w:p w:rsidR="008413A5" w:rsidRPr="00C13285" w:rsidRDefault="008413A5" w:rsidP="008413A5">
      <w:pPr>
        <w:pStyle w:val="a5"/>
        <w:ind w:firstLine="709"/>
        <w:jc w:val="both"/>
        <w:rPr>
          <w:rFonts w:ascii="Arial" w:hAnsi="Arial" w:cs="Arial"/>
        </w:rPr>
      </w:pPr>
      <w:r w:rsidRPr="00C13285">
        <w:rPr>
          <w:rFonts w:ascii="Arial" w:hAnsi="Arial" w:cs="Arial"/>
        </w:rPr>
        <w:t>1.Утвердить перечень муниципальных услуг, предоставление которых посредством комплексного запроса не осуществляется согласно приложению.</w:t>
      </w:r>
    </w:p>
    <w:p w:rsidR="008413A5" w:rsidRPr="00C13285" w:rsidRDefault="008413A5" w:rsidP="008413A5">
      <w:pPr>
        <w:pStyle w:val="a5"/>
        <w:ind w:firstLine="709"/>
        <w:rPr>
          <w:rFonts w:ascii="Arial" w:hAnsi="Arial" w:cs="Arial"/>
        </w:rPr>
      </w:pPr>
      <w:r w:rsidRPr="00C13285">
        <w:rPr>
          <w:rFonts w:ascii="Arial" w:hAnsi="Arial" w:cs="Arial"/>
        </w:rPr>
        <w:t>2.Постановление вступает в силу с момента подписания и подлежит официальному опубликованию в районной газете «Заря».</w:t>
      </w:r>
    </w:p>
    <w:p w:rsidR="008413A5" w:rsidRPr="00C13285" w:rsidRDefault="008413A5" w:rsidP="008413A5">
      <w:pPr>
        <w:pStyle w:val="a5"/>
        <w:ind w:firstLine="709"/>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8413A5" w:rsidRPr="00C13285" w:rsidTr="008413A5">
        <w:tc>
          <w:tcPr>
            <w:tcW w:w="4927" w:type="dxa"/>
            <w:hideMark/>
          </w:tcPr>
          <w:p w:rsidR="008413A5" w:rsidRPr="00C13285" w:rsidRDefault="008413A5">
            <w:pPr>
              <w:pStyle w:val="ConsPlusNormal"/>
              <w:widowControl/>
              <w:ind w:firstLine="0"/>
              <w:jc w:val="both"/>
              <w:rPr>
                <w:sz w:val="24"/>
                <w:szCs w:val="24"/>
              </w:rPr>
            </w:pPr>
            <w:r w:rsidRPr="00C13285">
              <w:rPr>
                <w:sz w:val="24"/>
                <w:szCs w:val="24"/>
              </w:rPr>
              <w:t>Исполняющий обязанности</w:t>
            </w:r>
          </w:p>
          <w:p w:rsidR="008413A5" w:rsidRPr="00C13285" w:rsidRDefault="008413A5">
            <w:pPr>
              <w:pStyle w:val="ConsPlusNormal"/>
              <w:widowControl/>
              <w:ind w:firstLine="0"/>
              <w:jc w:val="both"/>
              <w:rPr>
                <w:sz w:val="24"/>
                <w:szCs w:val="24"/>
              </w:rPr>
            </w:pPr>
            <w:r w:rsidRPr="00C13285">
              <w:rPr>
                <w:sz w:val="24"/>
                <w:szCs w:val="24"/>
              </w:rPr>
              <w:t>Главы Пировского района</w:t>
            </w:r>
          </w:p>
        </w:tc>
        <w:tc>
          <w:tcPr>
            <w:tcW w:w="4927" w:type="dxa"/>
            <w:hideMark/>
          </w:tcPr>
          <w:p w:rsidR="008413A5" w:rsidRPr="00C13285" w:rsidRDefault="008413A5" w:rsidP="008413A5">
            <w:pPr>
              <w:pStyle w:val="ConsPlusNormal"/>
              <w:widowControl/>
              <w:ind w:firstLine="0"/>
              <w:jc w:val="right"/>
              <w:rPr>
                <w:sz w:val="24"/>
                <w:szCs w:val="24"/>
              </w:rPr>
            </w:pPr>
          </w:p>
          <w:p w:rsidR="008413A5" w:rsidRPr="00C13285" w:rsidRDefault="008413A5" w:rsidP="008413A5">
            <w:pPr>
              <w:pStyle w:val="ConsPlusNormal"/>
              <w:widowControl/>
              <w:ind w:firstLine="0"/>
              <w:jc w:val="right"/>
              <w:rPr>
                <w:sz w:val="24"/>
                <w:szCs w:val="24"/>
              </w:rPr>
            </w:pPr>
            <w:proofErr w:type="spellStart"/>
            <w:r w:rsidRPr="00C13285">
              <w:rPr>
                <w:sz w:val="24"/>
                <w:szCs w:val="24"/>
              </w:rPr>
              <w:t>С.С.Ивченко</w:t>
            </w:r>
            <w:proofErr w:type="spellEnd"/>
          </w:p>
        </w:tc>
      </w:tr>
    </w:tbl>
    <w:p w:rsidR="008413A5" w:rsidRPr="00C13285" w:rsidRDefault="008413A5" w:rsidP="008413A5">
      <w:pPr>
        <w:pStyle w:val="ConsPlusNormal"/>
        <w:widowControl/>
        <w:ind w:firstLine="0"/>
        <w:jc w:val="both"/>
        <w:rPr>
          <w:b/>
          <w:sz w:val="24"/>
          <w:szCs w:val="24"/>
        </w:rPr>
      </w:pPr>
    </w:p>
    <w:p w:rsidR="008413A5" w:rsidRPr="00C13285" w:rsidRDefault="008413A5" w:rsidP="008413A5">
      <w:pPr>
        <w:rPr>
          <w:rFonts w:ascii="Arial" w:hAnsi="Arial" w:cs="Arial"/>
          <w:sz w:val="24"/>
          <w:szCs w:val="24"/>
        </w:rPr>
      </w:pPr>
    </w:p>
    <w:p w:rsidR="007A44FC" w:rsidRPr="00C13285" w:rsidRDefault="007A44FC">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p w:rsidR="008413A5" w:rsidRPr="00C13285" w:rsidRDefault="008413A5">
      <w:pPr>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3"/>
      </w:tblGrid>
      <w:tr w:rsidR="008413A5" w:rsidRPr="00C13285" w:rsidTr="008413A5">
        <w:tc>
          <w:tcPr>
            <w:tcW w:w="4927" w:type="dxa"/>
          </w:tcPr>
          <w:p w:rsidR="008413A5" w:rsidRPr="00C13285" w:rsidRDefault="008413A5" w:rsidP="00973058">
            <w:pPr>
              <w:pStyle w:val="ConsPlusNormal"/>
              <w:widowControl/>
              <w:ind w:firstLine="0"/>
              <w:jc w:val="both"/>
              <w:rPr>
                <w:sz w:val="24"/>
                <w:szCs w:val="24"/>
              </w:rPr>
            </w:pPr>
          </w:p>
        </w:tc>
        <w:tc>
          <w:tcPr>
            <w:tcW w:w="4927" w:type="dxa"/>
          </w:tcPr>
          <w:p w:rsidR="008413A5" w:rsidRPr="00C13285" w:rsidRDefault="008413A5" w:rsidP="00C13285">
            <w:pPr>
              <w:pStyle w:val="ConsPlusNormal"/>
              <w:widowControl/>
              <w:ind w:firstLine="0"/>
              <w:jc w:val="both"/>
              <w:rPr>
                <w:sz w:val="24"/>
                <w:szCs w:val="24"/>
              </w:rPr>
            </w:pPr>
            <w:r w:rsidRPr="00C13285">
              <w:rPr>
                <w:sz w:val="24"/>
                <w:szCs w:val="24"/>
              </w:rPr>
              <w:t>Приложение к постановлению администр</w:t>
            </w:r>
            <w:r w:rsidR="00C13285" w:rsidRPr="00C13285">
              <w:rPr>
                <w:sz w:val="24"/>
                <w:szCs w:val="24"/>
              </w:rPr>
              <w:t>ации Пировского района от 29</w:t>
            </w:r>
            <w:r w:rsidRPr="00C13285">
              <w:rPr>
                <w:sz w:val="24"/>
                <w:szCs w:val="24"/>
              </w:rPr>
              <w:t xml:space="preserve"> ноября 2018 года №</w:t>
            </w:r>
            <w:r w:rsidR="00C13285" w:rsidRPr="00C13285">
              <w:rPr>
                <w:sz w:val="24"/>
                <w:szCs w:val="24"/>
              </w:rPr>
              <w:t>355-п</w:t>
            </w:r>
          </w:p>
        </w:tc>
      </w:tr>
    </w:tbl>
    <w:p w:rsidR="008413A5" w:rsidRPr="00C13285" w:rsidRDefault="008413A5">
      <w:pPr>
        <w:rPr>
          <w:rFonts w:ascii="Arial" w:hAnsi="Arial" w:cs="Arial"/>
          <w:sz w:val="24"/>
          <w:szCs w:val="24"/>
        </w:rPr>
      </w:pPr>
    </w:p>
    <w:p w:rsidR="008413A5" w:rsidRPr="00C13285" w:rsidRDefault="008413A5" w:rsidP="008413A5">
      <w:pPr>
        <w:spacing w:after="0"/>
        <w:jc w:val="center"/>
        <w:rPr>
          <w:rFonts w:ascii="Arial" w:hAnsi="Arial" w:cs="Arial"/>
          <w:sz w:val="24"/>
          <w:szCs w:val="24"/>
        </w:rPr>
      </w:pPr>
      <w:r w:rsidRPr="00C13285">
        <w:rPr>
          <w:rFonts w:ascii="Arial" w:hAnsi="Arial" w:cs="Arial"/>
          <w:sz w:val="24"/>
          <w:szCs w:val="24"/>
        </w:rPr>
        <w:t>ПЕРЕЧЕНЬ</w:t>
      </w:r>
    </w:p>
    <w:p w:rsidR="008413A5" w:rsidRPr="00C13285" w:rsidRDefault="008413A5" w:rsidP="00C557E1">
      <w:pPr>
        <w:spacing w:after="0"/>
        <w:jc w:val="center"/>
        <w:rPr>
          <w:rFonts w:ascii="Arial" w:hAnsi="Arial" w:cs="Arial"/>
          <w:sz w:val="24"/>
          <w:szCs w:val="24"/>
        </w:rPr>
      </w:pPr>
      <w:proofErr w:type="gramStart"/>
      <w:r w:rsidRPr="00C13285">
        <w:rPr>
          <w:rFonts w:ascii="Arial" w:hAnsi="Arial" w:cs="Arial"/>
          <w:sz w:val="24"/>
          <w:szCs w:val="24"/>
        </w:rPr>
        <w:t>муниципальных</w:t>
      </w:r>
      <w:proofErr w:type="gramEnd"/>
      <w:r w:rsidRPr="00C13285">
        <w:rPr>
          <w:rFonts w:ascii="Arial" w:hAnsi="Arial" w:cs="Arial"/>
          <w:sz w:val="24"/>
          <w:szCs w:val="24"/>
        </w:rPr>
        <w:t xml:space="preserve"> услуг, предоставление которых посредством комплексного запроса не осуществляется</w:t>
      </w:r>
    </w:p>
    <w:p w:rsidR="00C557E1" w:rsidRPr="00C13285" w:rsidRDefault="00C557E1" w:rsidP="00C557E1">
      <w:pPr>
        <w:spacing w:after="0"/>
        <w:jc w:val="center"/>
        <w:rPr>
          <w:rFonts w:ascii="Arial" w:hAnsi="Arial" w:cs="Arial"/>
          <w:sz w:val="24"/>
          <w:szCs w:val="24"/>
        </w:rPr>
      </w:pPr>
    </w:p>
    <w:tbl>
      <w:tblPr>
        <w:tblStyle w:val="a7"/>
        <w:tblW w:w="0" w:type="auto"/>
        <w:tblLook w:val="04A0" w:firstRow="1" w:lastRow="0" w:firstColumn="1" w:lastColumn="0" w:noHBand="0" w:noVBand="1"/>
      </w:tblPr>
      <w:tblGrid>
        <w:gridCol w:w="988"/>
        <w:gridCol w:w="8640"/>
      </w:tblGrid>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w:t>
            </w:r>
          </w:p>
          <w:p w:rsidR="00C557E1" w:rsidRPr="00C13285" w:rsidRDefault="00C557E1" w:rsidP="00C557E1">
            <w:pPr>
              <w:spacing w:after="0"/>
              <w:jc w:val="center"/>
              <w:rPr>
                <w:rFonts w:ascii="Arial" w:hAnsi="Arial" w:cs="Arial"/>
                <w:sz w:val="24"/>
                <w:szCs w:val="24"/>
              </w:rPr>
            </w:pPr>
            <w:proofErr w:type="gramStart"/>
            <w:r w:rsidRPr="00C13285">
              <w:rPr>
                <w:rFonts w:ascii="Arial" w:hAnsi="Arial" w:cs="Arial"/>
                <w:sz w:val="24"/>
                <w:szCs w:val="24"/>
              </w:rPr>
              <w:t>п</w:t>
            </w:r>
            <w:proofErr w:type="gramEnd"/>
            <w:r w:rsidRPr="00C13285">
              <w:rPr>
                <w:rFonts w:ascii="Arial" w:hAnsi="Arial" w:cs="Arial"/>
                <w:sz w:val="24"/>
                <w:szCs w:val="24"/>
              </w:rPr>
              <w:t>/п</w:t>
            </w:r>
          </w:p>
        </w:tc>
        <w:tc>
          <w:tcPr>
            <w:tcW w:w="8640"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Наименование муниципальной услуги</w:t>
            </w:r>
          </w:p>
        </w:tc>
      </w:tr>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1.</w:t>
            </w:r>
          </w:p>
        </w:tc>
        <w:tc>
          <w:tcPr>
            <w:tcW w:w="8640" w:type="dxa"/>
          </w:tcPr>
          <w:p w:rsidR="00C557E1" w:rsidRPr="00C13285" w:rsidRDefault="00C557E1" w:rsidP="00C557E1">
            <w:pPr>
              <w:spacing w:after="0"/>
              <w:jc w:val="both"/>
              <w:rPr>
                <w:rFonts w:ascii="Arial" w:hAnsi="Arial" w:cs="Arial"/>
                <w:sz w:val="24"/>
                <w:szCs w:val="24"/>
              </w:rPr>
            </w:pPr>
            <w:r w:rsidRPr="00C13285">
              <w:rPr>
                <w:rFonts w:ascii="Arial" w:hAnsi="Arial" w:cs="Arial"/>
                <w:sz w:val="24"/>
                <w:szCs w:val="24"/>
              </w:rPr>
              <w:t>Подготовка и утверждение схем расположения земельных участков на кадастровом плане или кадастровой карте территории</w:t>
            </w:r>
          </w:p>
        </w:tc>
      </w:tr>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2.</w:t>
            </w:r>
          </w:p>
        </w:tc>
        <w:tc>
          <w:tcPr>
            <w:tcW w:w="8640" w:type="dxa"/>
          </w:tcPr>
          <w:p w:rsidR="00C557E1" w:rsidRPr="00C13285" w:rsidRDefault="00C557E1" w:rsidP="00C557E1">
            <w:pPr>
              <w:spacing w:after="0"/>
              <w:jc w:val="both"/>
              <w:rPr>
                <w:rFonts w:ascii="Arial" w:hAnsi="Arial" w:cs="Arial"/>
                <w:sz w:val="24"/>
                <w:szCs w:val="24"/>
              </w:rPr>
            </w:pPr>
            <w:r w:rsidRPr="00C13285">
              <w:rPr>
                <w:rFonts w:ascii="Arial" w:hAnsi="Arial" w:cs="Arial"/>
                <w:sz w:val="24"/>
                <w:szCs w:val="24"/>
              </w:rPr>
              <w:t>Рассмотрение заявлений о предоставлении земельных участков, находящихся в муниципальной собственности Пировского района в аренду</w:t>
            </w:r>
          </w:p>
        </w:tc>
      </w:tr>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3.</w:t>
            </w:r>
          </w:p>
        </w:tc>
        <w:tc>
          <w:tcPr>
            <w:tcW w:w="8640" w:type="dxa"/>
          </w:tcPr>
          <w:p w:rsidR="00C557E1" w:rsidRPr="00C13285" w:rsidRDefault="00C557E1" w:rsidP="00C557E1">
            <w:pPr>
              <w:spacing w:after="0"/>
              <w:jc w:val="both"/>
              <w:rPr>
                <w:rFonts w:ascii="Arial" w:hAnsi="Arial" w:cs="Arial"/>
                <w:sz w:val="24"/>
                <w:szCs w:val="24"/>
              </w:rPr>
            </w:pPr>
            <w:r w:rsidRPr="00C13285">
              <w:rPr>
                <w:rFonts w:ascii="Arial" w:hAnsi="Arial" w:cs="Arial"/>
                <w:sz w:val="24"/>
                <w:szCs w:val="24"/>
              </w:rPr>
              <w:t>Рассмотрение заявлений о предоставлении в собственность земельных участков, находящихся в муниципальной собственности Пировского района</w:t>
            </w:r>
          </w:p>
        </w:tc>
      </w:tr>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4.</w:t>
            </w:r>
          </w:p>
        </w:tc>
        <w:tc>
          <w:tcPr>
            <w:tcW w:w="8640" w:type="dxa"/>
          </w:tcPr>
          <w:p w:rsidR="00C557E1" w:rsidRPr="00C13285" w:rsidRDefault="00C557E1" w:rsidP="00C557E1">
            <w:pPr>
              <w:spacing w:after="0"/>
              <w:jc w:val="both"/>
              <w:rPr>
                <w:rFonts w:ascii="Arial" w:hAnsi="Arial" w:cs="Arial"/>
                <w:sz w:val="24"/>
                <w:szCs w:val="24"/>
              </w:rPr>
            </w:pPr>
            <w:r w:rsidRPr="00C13285">
              <w:rPr>
                <w:rFonts w:ascii="Arial" w:hAnsi="Arial" w:cs="Arial"/>
                <w:sz w:val="24"/>
                <w:szCs w:val="24"/>
              </w:rPr>
              <w:t>Представление информации, прием документов органами опеки и попечительства от лиц, желающих установить опеку (попечительство) над несовершеннолетними</w:t>
            </w:r>
          </w:p>
        </w:tc>
      </w:tr>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5.</w:t>
            </w:r>
          </w:p>
        </w:tc>
        <w:tc>
          <w:tcPr>
            <w:tcW w:w="8640" w:type="dxa"/>
          </w:tcPr>
          <w:p w:rsidR="00C557E1" w:rsidRPr="00C13285" w:rsidRDefault="00C557E1" w:rsidP="00C557E1">
            <w:pPr>
              <w:spacing w:after="0"/>
              <w:jc w:val="both"/>
              <w:rPr>
                <w:rFonts w:ascii="Arial" w:hAnsi="Arial" w:cs="Arial"/>
                <w:sz w:val="24"/>
                <w:szCs w:val="24"/>
              </w:rPr>
            </w:pPr>
            <w:r w:rsidRPr="00C13285">
              <w:rPr>
                <w:rFonts w:ascii="Arial" w:hAnsi="Arial" w:cs="Arial"/>
                <w:sz w:val="24"/>
                <w:szCs w:val="24"/>
              </w:rPr>
              <w:t>Выдача разрешения на строительство, реконструкцию объектов капитального строительства</w:t>
            </w:r>
          </w:p>
        </w:tc>
      </w:tr>
      <w:tr w:rsidR="00C557E1" w:rsidRPr="00C13285" w:rsidTr="00C557E1">
        <w:tc>
          <w:tcPr>
            <w:tcW w:w="988" w:type="dxa"/>
          </w:tcPr>
          <w:p w:rsidR="00C557E1" w:rsidRPr="00C13285" w:rsidRDefault="00C557E1" w:rsidP="00C557E1">
            <w:pPr>
              <w:spacing w:after="0"/>
              <w:jc w:val="center"/>
              <w:rPr>
                <w:rFonts w:ascii="Arial" w:hAnsi="Arial" w:cs="Arial"/>
                <w:sz w:val="24"/>
                <w:szCs w:val="24"/>
              </w:rPr>
            </w:pPr>
            <w:r w:rsidRPr="00C13285">
              <w:rPr>
                <w:rFonts w:ascii="Arial" w:hAnsi="Arial" w:cs="Arial"/>
                <w:sz w:val="24"/>
                <w:szCs w:val="24"/>
              </w:rPr>
              <w:t>6.</w:t>
            </w:r>
          </w:p>
        </w:tc>
        <w:tc>
          <w:tcPr>
            <w:tcW w:w="8640" w:type="dxa"/>
          </w:tcPr>
          <w:p w:rsidR="00C557E1" w:rsidRPr="00C13285" w:rsidRDefault="00C557E1" w:rsidP="00C557E1">
            <w:pPr>
              <w:spacing w:after="0"/>
              <w:jc w:val="both"/>
              <w:rPr>
                <w:rFonts w:ascii="Arial" w:hAnsi="Arial" w:cs="Arial"/>
                <w:sz w:val="24"/>
                <w:szCs w:val="24"/>
              </w:rPr>
            </w:pPr>
            <w:r w:rsidRPr="00C13285">
              <w:rPr>
                <w:rFonts w:ascii="Arial" w:hAnsi="Arial" w:cs="Arial"/>
                <w:sz w:val="24"/>
                <w:szCs w:val="24"/>
              </w:rPr>
              <w:t>Выдача разрешения на ввод объекта в эксплуатацию</w:t>
            </w:r>
          </w:p>
        </w:tc>
      </w:tr>
      <w:bookmarkEnd w:id="0"/>
    </w:tbl>
    <w:p w:rsidR="008413A5" w:rsidRPr="00C13285" w:rsidRDefault="008413A5" w:rsidP="008413A5">
      <w:pPr>
        <w:jc w:val="center"/>
        <w:rPr>
          <w:rFonts w:ascii="Arial" w:hAnsi="Arial" w:cs="Arial"/>
          <w:sz w:val="24"/>
          <w:szCs w:val="24"/>
        </w:rPr>
      </w:pPr>
    </w:p>
    <w:sectPr w:rsidR="008413A5" w:rsidRPr="00C13285" w:rsidSect="008413A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71"/>
    <w:rsid w:val="007A44FC"/>
    <w:rsid w:val="008413A5"/>
    <w:rsid w:val="00C13285"/>
    <w:rsid w:val="00C557E1"/>
    <w:rsid w:val="00F51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E5CA8-F5E6-4570-91D8-682A831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A5"/>
    <w:pPr>
      <w:spacing w:after="200" w:line="276" w:lineRule="auto"/>
    </w:pPr>
    <w:rPr>
      <w:rFonts w:eastAsiaTheme="minorEastAsia"/>
      <w:lang w:eastAsia="ru-RU"/>
    </w:rPr>
  </w:style>
  <w:style w:type="paragraph" w:styleId="1">
    <w:name w:val="heading 1"/>
    <w:basedOn w:val="a"/>
    <w:next w:val="a"/>
    <w:link w:val="10"/>
    <w:qFormat/>
    <w:rsid w:val="008413A5"/>
    <w:pPr>
      <w:keepNext/>
      <w:spacing w:after="0" w:line="240" w:lineRule="auto"/>
      <w:jc w:val="right"/>
      <w:outlineLvl w:val="0"/>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3A5"/>
    <w:rPr>
      <w:rFonts w:ascii="Times New Roman" w:eastAsia="Times New Roman" w:hAnsi="Times New Roman" w:cs="Times New Roman"/>
      <w:sz w:val="24"/>
      <w:szCs w:val="24"/>
      <w:u w:val="single"/>
      <w:lang w:eastAsia="ru-RU"/>
    </w:rPr>
  </w:style>
  <w:style w:type="character" w:customStyle="1" w:styleId="a3">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4"/>
    <w:semiHidden/>
    <w:locked/>
    <w:rsid w:val="008413A5"/>
    <w:rPr>
      <w:rFonts w:ascii="Times New Roman" w:eastAsia="Times New Roman" w:hAnsi="Times New Roman" w:cs="Times New Roman"/>
      <w:sz w:val="24"/>
      <w:szCs w:val="24"/>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3"/>
    <w:semiHidden/>
    <w:unhideWhenUsed/>
    <w:rsid w:val="008413A5"/>
    <w:pPr>
      <w:spacing w:after="120" w:line="240" w:lineRule="auto"/>
    </w:pPr>
    <w:rPr>
      <w:rFonts w:ascii="Times New Roman" w:eastAsia="Times New Roman" w:hAnsi="Times New Roman" w:cs="Times New Roman"/>
      <w:sz w:val="24"/>
      <w:szCs w:val="24"/>
      <w:lang w:eastAsia="en-US"/>
    </w:rPr>
  </w:style>
  <w:style w:type="character" w:customStyle="1" w:styleId="11">
    <w:name w:val="Основной текст Знак1"/>
    <w:basedOn w:val="a0"/>
    <w:uiPriority w:val="99"/>
    <w:semiHidden/>
    <w:rsid w:val="008413A5"/>
    <w:rPr>
      <w:rFonts w:eastAsiaTheme="minorEastAsia"/>
      <w:lang w:eastAsia="ru-RU"/>
    </w:rPr>
  </w:style>
  <w:style w:type="paragraph" w:styleId="a5">
    <w:name w:val="Body Text Indent"/>
    <w:basedOn w:val="a"/>
    <w:link w:val="a6"/>
    <w:semiHidden/>
    <w:unhideWhenUsed/>
    <w:rsid w:val="008413A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8413A5"/>
    <w:rPr>
      <w:rFonts w:ascii="Times New Roman" w:eastAsia="Times New Roman" w:hAnsi="Times New Roman" w:cs="Times New Roman"/>
      <w:sz w:val="24"/>
      <w:szCs w:val="24"/>
      <w:lang w:eastAsia="ru-RU"/>
    </w:rPr>
  </w:style>
  <w:style w:type="paragraph" w:customStyle="1" w:styleId="ConsPlusNormal">
    <w:name w:val="ConsPlusNormal"/>
    <w:rsid w:val="008413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8413A5"/>
    <w:pPr>
      <w:widowControl w:val="0"/>
      <w:autoSpaceDE w:val="0"/>
      <w:autoSpaceDN w:val="0"/>
      <w:adjustRightInd w:val="0"/>
      <w:spacing w:after="0" w:line="323" w:lineRule="exact"/>
      <w:ind w:hanging="466"/>
      <w:jc w:val="both"/>
    </w:pPr>
    <w:rPr>
      <w:rFonts w:ascii="Times New Roman" w:eastAsia="Times New Roman" w:hAnsi="Times New Roman" w:cs="Times New Roman"/>
      <w:sz w:val="24"/>
      <w:szCs w:val="24"/>
    </w:rPr>
  </w:style>
  <w:style w:type="paragraph" w:customStyle="1" w:styleId="Style3">
    <w:name w:val="Style3"/>
    <w:basedOn w:val="a"/>
    <w:rsid w:val="008413A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
    <w:name w:val="Style5"/>
    <w:basedOn w:val="a"/>
    <w:rsid w:val="008413A5"/>
    <w:pPr>
      <w:widowControl w:val="0"/>
      <w:autoSpaceDE w:val="0"/>
      <w:autoSpaceDN w:val="0"/>
      <w:adjustRightInd w:val="0"/>
      <w:spacing w:after="0" w:line="323" w:lineRule="exact"/>
      <w:ind w:firstLine="758"/>
      <w:jc w:val="both"/>
    </w:pPr>
    <w:rPr>
      <w:rFonts w:ascii="Times New Roman" w:eastAsia="Times New Roman" w:hAnsi="Times New Roman" w:cs="Times New Roman"/>
      <w:sz w:val="24"/>
      <w:szCs w:val="24"/>
    </w:rPr>
  </w:style>
  <w:style w:type="character" w:customStyle="1" w:styleId="FontStyle13">
    <w:name w:val="Font Style13"/>
    <w:rsid w:val="008413A5"/>
    <w:rPr>
      <w:rFonts w:ascii="Times New Roman" w:hAnsi="Times New Roman" w:cs="Times New Roman" w:hint="default"/>
      <w:sz w:val="26"/>
      <w:szCs w:val="26"/>
    </w:rPr>
  </w:style>
  <w:style w:type="table" w:styleId="a7">
    <w:name w:val="Table Grid"/>
    <w:basedOn w:val="a1"/>
    <w:uiPriority w:val="59"/>
    <w:rsid w:val="008413A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557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57E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5</cp:revision>
  <cp:lastPrinted>2018-11-29T07:49:00Z</cp:lastPrinted>
  <dcterms:created xsi:type="dcterms:W3CDTF">2018-11-29T07:32:00Z</dcterms:created>
  <dcterms:modified xsi:type="dcterms:W3CDTF">2018-11-30T03:42:00Z</dcterms:modified>
</cp:coreProperties>
</file>