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 РАЙОНА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0C4F7F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9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71E7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71E76">
        <w:rPr>
          <w:rFonts w:ascii="Times New Roman" w:hAnsi="Times New Roman" w:cs="Times New Roman"/>
          <w:sz w:val="28"/>
          <w:szCs w:val="28"/>
        </w:rPr>
        <w:t xml:space="preserve">г.                    с. </w:t>
      </w:r>
      <w:r w:rsidR="00B64BAA">
        <w:rPr>
          <w:rFonts w:ascii="Times New Roman" w:hAnsi="Times New Roman" w:cs="Times New Roman"/>
          <w:sz w:val="28"/>
          <w:szCs w:val="28"/>
        </w:rPr>
        <w:t xml:space="preserve">Пировское                      </w:t>
      </w:r>
      <w:r w:rsidR="00166D5F">
        <w:rPr>
          <w:rFonts w:ascii="Times New Roman" w:hAnsi="Times New Roman" w:cs="Times New Roman"/>
          <w:sz w:val="28"/>
          <w:szCs w:val="28"/>
        </w:rPr>
        <w:t xml:space="preserve">              №51-п</w:t>
      </w:r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от </w:t>
      </w:r>
      <w:r w:rsidR="00AD56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6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D56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4-п</w:t>
      </w:r>
    </w:p>
    <w:p w:rsidR="00D71E76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E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Пировского района</w:t>
      </w:r>
    </w:p>
    <w:p w:rsidR="00D71E76" w:rsidRDefault="00D71E76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финансами»</w:t>
      </w:r>
      <w:r w:rsidR="00AD565B">
        <w:rPr>
          <w:rFonts w:ascii="Times New Roman" w:hAnsi="Times New Roman" w:cs="Times New Roman"/>
          <w:sz w:val="28"/>
          <w:szCs w:val="28"/>
        </w:rPr>
        <w:t>»</w:t>
      </w:r>
    </w:p>
    <w:p w:rsidR="00B57BC9" w:rsidRDefault="00B57BC9" w:rsidP="00B57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17</w:t>
      </w:r>
      <w:r w:rsidR="00C63BE0">
        <w:rPr>
          <w:rFonts w:ascii="Times New Roman" w:hAnsi="Times New Roman" w:cs="Times New Roman"/>
          <w:sz w:val="28"/>
          <w:szCs w:val="28"/>
        </w:rPr>
        <w:t>9 Бюджетного кодекса РФ,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BE0">
        <w:rPr>
          <w:rFonts w:ascii="Times New Roman" w:hAnsi="Times New Roman" w:cs="Times New Roman"/>
          <w:sz w:val="28"/>
          <w:szCs w:val="28"/>
        </w:rPr>
        <w:t>15,18</w:t>
      </w:r>
      <w:r>
        <w:rPr>
          <w:rFonts w:ascii="Times New Roman" w:hAnsi="Times New Roman" w:cs="Times New Roman"/>
          <w:sz w:val="28"/>
          <w:szCs w:val="28"/>
        </w:rPr>
        <w:t xml:space="preserve"> Устава Пировского района, постановлением администрации Пировского района  от 15.07.2013 № 309-п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 Порядка принятия решений о разработке муниципальных программ Пировского района, их формирования и реализации»</w:t>
      </w:r>
      <w:r w:rsidR="008D5A6B">
        <w:rPr>
          <w:rFonts w:ascii="Times New Roman" w:hAnsi="Times New Roman" w:cs="Times New Roman"/>
          <w:sz w:val="28"/>
          <w:szCs w:val="28"/>
        </w:rPr>
        <w:t>, Положением о бюджетном процессе Пировского района, утвержденным решением Пировского районного Совета №</w:t>
      </w:r>
      <w:r w:rsidR="00251303">
        <w:rPr>
          <w:rFonts w:ascii="Times New Roman" w:hAnsi="Times New Roman" w:cs="Times New Roman"/>
          <w:sz w:val="28"/>
          <w:szCs w:val="28"/>
        </w:rPr>
        <w:t>24-139-р от 18.11.</w:t>
      </w:r>
      <w:r w:rsidR="00251303" w:rsidRPr="00251303">
        <w:rPr>
          <w:rFonts w:ascii="Times New Roman" w:hAnsi="Times New Roman" w:cs="Times New Roman"/>
          <w:sz w:val="28"/>
          <w:szCs w:val="28"/>
        </w:rPr>
        <w:t>2011</w:t>
      </w:r>
      <w:r w:rsidR="00E94967" w:rsidRPr="00251303">
        <w:rPr>
          <w:rFonts w:ascii="Times New Roman" w:hAnsi="Times New Roman"/>
          <w:sz w:val="28"/>
          <w:szCs w:val="28"/>
        </w:rPr>
        <w:t>, ПОСТАНОВЛЯЮ</w:t>
      </w:r>
      <w:r w:rsidRPr="00251303">
        <w:rPr>
          <w:rFonts w:ascii="Times New Roman" w:hAnsi="Times New Roman" w:cs="Times New Roman"/>
          <w:sz w:val="28"/>
          <w:szCs w:val="28"/>
        </w:rPr>
        <w:t>:</w:t>
      </w:r>
    </w:p>
    <w:p w:rsidR="00D71E76" w:rsidRDefault="00251303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1E76">
        <w:rPr>
          <w:rFonts w:ascii="Times New Roman" w:hAnsi="Times New Roman" w:cs="Times New Roman"/>
          <w:sz w:val="28"/>
          <w:szCs w:val="28"/>
        </w:rPr>
        <w:t xml:space="preserve">муниципальную программу Пировского района «Управление муниципальными финансами» 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 w:rsidR="00AD565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B5373">
        <w:rPr>
          <w:rFonts w:ascii="Times New Roman" w:hAnsi="Times New Roman" w:cs="Times New Roman"/>
          <w:sz w:val="28"/>
          <w:szCs w:val="28"/>
        </w:rPr>
        <w:t>:</w:t>
      </w:r>
    </w:p>
    <w:p w:rsidR="004C52F6" w:rsidRDefault="004C52F6" w:rsidP="004C5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</w:t>
      </w:r>
      <w:r w:rsidR="00816947">
        <w:rPr>
          <w:rFonts w:ascii="Times New Roman" w:hAnsi="Times New Roman" w:cs="Times New Roman"/>
          <w:sz w:val="28"/>
          <w:szCs w:val="28"/>
        </w:rPr>
        <w:t>в таблице паспорта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Пировского района </w:t>
      </w:r>
      <w:r w:rsidR="00816947">
        <w:rPr>
          <w:rFonts w:ascii="Times New Roman" w:hAnsi="Times New Roman" w:cs="Times New Roman"/>
          <w:sz w:val="28"/>
          <w:szCs w:val="28"/>
        </w:rPr>
        <w:t>«Управление муниципальными финансами»  раздел «</w:t>
      </w:r>
      <w:r>
        <w:rPr>
          <w:rFonts w:ascii="Times New Roman" w:hAnsi="Times New Roman" w:cs="Times New Roman"/>
          <w:sz w:val="28"/>
          <w:szCs w:val="28"/>
        </w:rPr>
        <w:t>Перечень подпрограмм отдельных мероприятий муниципальной программы</w:t>
      </w:r>
      <w:r w:rsidR="0081694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47589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4C52F6" w:rsidRPr="001F2AC0" w:rsidTr="00CF17A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F6" w:rsidRPr="001F2AC0" w:rsidRDefault="004C52F6" w:rsidP="00CF17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F6" w:rsidRPr="001F2AC0" w:rsidRDefault="004C52F6" w:rsidP="00C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C52F6" w:rsidRDefault="004C52F6" w:rsidP="00C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CE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Обеспечение реализации 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 и прочие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C52F6" w:rsidRPr="001F2AC0" w:rsidRDefault="004C52F6" w:rsidP="004C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Управление муниципальным долгом Пировского района.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816947" w:rsidRDefault="00816947" w:rsidP="004C5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2F6" w:rsidRDefault="004C52F6" w:rsidP="004C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таблице паспорта муниципальной программы Пировского района «Управление муниципальными финансами»  раздел «Задачи муниципальной программы» изложить в следующей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4C52F6" w:rsidRPr="001F2AC0" w:rsidTr="00CF17A9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F6" w:rsidRPr="001F2AC0" w:rsidRDefault="004C52F6" w:rsidP="00CF17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F6" w:rsidRPr="001F2AC0" w:rsidRDefault="004C52F6" w:rsidP="00C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1. Обеспечение равных условий для устойчивого и эффективного исполнения расходных обязательств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, обеспечение сбалансированности и повышение финансовой самостоятельности местных бюджетов;</w:t>
            </w:r>
          </w:p>
          <w:p w:rsidR="004C52F6" w:rsidRDefault="004C52F6" w:rsidP="00C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CEF">
              <w:rPr>
                <w:rFonts w:ascii="Times New Roman" w:hAnsi="Times New Roman"/>
                <w:sz w:val="28"/>
                <w:szCs w:val="28"/>
              </w:rPr>
              <w:t>2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. Создание условий для эффективного, ответственного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C52F6" w:rsidRPr="001F2AC0" w:rsidRDefault="004C52F6" w:rsidP="00CF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Эффективное управление муниципальным долгом Пировского района.</w:t>
            </w:r>
          </w:p>
        </w:tc>
      </w:tr>
    </w:tbl>
    <w:p w:rsidR="00816947" w:rsidRDefault="00816947" w:rsidP="00816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E0C" w:rsidRDefault="006B5373" w:rsidP="004C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2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таблиц</w:t>
      </w:r>
      <w:r w:rsidR="006E1B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Пировского района «Управление муниципальными финансами» </w:t>
      </w:r>
      <w:r w:rsidR="006E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«Информация по ресурсному обеспечению муниципальной программы» изложить в следующей</w:t>
      </w:r>
      <w:r w:rsidR="00CD557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297E0C" w:rsidTr="00297E0C">
        <w:tc>
          <w:tcPr>
            <w:tcW w:w="2376" w:type="dxa"/>
          </w:tcPr>
          <w:p w:rsidR="00297E0C" w:rsidRDefault="00297E0C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 по годам составляет </w:t>
            </w:r>
            <w:r w:rsidR="0047589F">
              <w:rPr>
                <w:rFonts w:ascii="Times New Roman" w:hAnsi="Times New Roman"/>
                <w:sz w:val="28"/>
                <w:szCs w:val="28"/>
              </w:rPr>
              <w:t>221 401,38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</w:t>
            </w:r>
            <w:r w:rsidR="000E125E">
              <w:rPr>
                <w:rFonts w:ascii="Times New Roman" w:hAnsi="Times New Roman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sz w:val="28"/>
                <w:szCs w:val="28"/>
              </w:rPr>
              <w:t>,91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краевого бюджета</w:t>
            </w:r>
            <w:r w:rsidR="00297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Pr="001F2AC0" w:rsidRDefault="000E125E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198084,47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46 545,17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4 895,20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66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рублей - средства краевого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41 649,97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3E5657">
              <w:rPr>
                <w:rFonts w:ascii="Times New Roman" w:hAnsi="Times New Roman"/>
                <w:sz w:val="28"/>
                <w:szCs w:val="28"/>
              </w:rPr>
              <w:t>43 885,67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A701CE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E5657">
              <w:rPr>
                <w:rFonts w:ascii="Times New Roman" w:hAnsi="Times New Roman"/>
                <w:sz w:val="28"/>
                <w:szCs w:val="28"/>
              </w:rPr>
              <w:t> 782,41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297E0C" w:rsidRPr="001F2AC0" w:rsidRDefault="003E5657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38 103,26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89F">
              <w:rPr>
                <w:rFonts w:ascii="Times New Roman" w:hAnsi="Times New Roman"/>
                <w:sz w:val="28"/>
                <w:szCs w:val="28"/>
              </w:rPr>
              <w:t>44 858,80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4 861,30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 w:rsidR="00297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47589F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39 997,50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1EDD">
              <w:rPr>
                <w:rFonts w:ascii="Times New Roman" w:hAnsi="Times New Roman"/>
                <w:sz w:val="28"/>
                <w:szCs w:val="28"/>
              </w:rPr>
              <w:t>43 062,12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3 889,00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 w:rsidR="00297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F41EDD" w:rsidP="00297E0C">
            <w:pPr>
              <w:pStyle w:val="a3"/>
              <w:ind w:left="-2091" w:firstLine="20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39 173,12</w:t>
            </w:r>
            <w:r w:rsidR="0029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– средства местного бюджета</w:t>
            </w:r>
            <w:r w:rsidR="00A701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701CE" w:rsidRPr="001F2AC0" w:rsidRDefault="00A701CE" w:rsidP="00A70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1EDD">
              <w:rPr>
                <w:rFonts w:ascii="Times New Roman" w:hAnsi="Times New Roman"/>
                <w:sz w:val="28"/>
                <w:szCs w:val="28"/>
              </w:rPr>
              <w:t>43 049,62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A701CE" w:rsidRDefault="00F41EDD" w:rsidP="00A70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3 889,00</w:t>
            </w:r>
            <w:r w:rsidR="00A70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1CE"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 w:rsidR="00A701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1CE" w:rsidRDefault="00F41EDD" w:rsidP="00A701CE">
            <w:pPr>
              <w:pStyle w:val="a3"/>
              <w:ind w:left="-2091" w:firstLine="20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39 160,62</w:t>
            </w:r>
            <w:r w:rsidR="00A7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– средства местного бюджета</w:t>
            </w:r>
          </w:p>
          <w:p w:rsidR="00A701CE" w:rsidRDefault="00A701CE" w:rsidP="00297E0C">
            <w:pPr>
              <w:pStyle w:val="a3"/>
              <w:ind w:left="-2091" w:firstLine="20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038" w:rsidRDefault="00B64BAA" w:rsidP="00F41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152D" w:rsidRDefault="00A701CE" w:rsidP="007F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0B" w:rsidRDefault="007F152D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C03">
        <w:rPr>
          <w:rFonts w:ascii="Times New Roman" w:hAnsi="Times New Roman" w:cs="Times New Roman"/>
          <w:sz w:val="28"/>
          <w:szCs w:val="28"/>
        </w:rPr>
        <w:t>2</w:t>
      </w:r>
      <w:r w:rsidR="00EB5034">
        <w:rPr>
          <w:rFonts w:ascii="Times New Roman" w:hAnsi="Times New Roman" w:cs="Times New Roman"/>
          <w:sz w:val="28"/>
          <w:szCs w:val="28"/>
        </w:rPr>
        <w:t>) в Приложени</w:t>
      </w:r>
      <w:r w:rsidR="00E769BA">
        <w:rPr>
          <w:rFonts w:ascii="Times New Roman" w:hAnsi="Times New Roman" w:cs="Times New Roman"/>
          <w:sz w:val="28"/>
          <w:szCs w:val="28"/>
        </w:rPr>
        <w:t>и</w:t>
      </w:r>
      <w:r w:rsidR="00EB5034">
        <w:rPr>
          <w:rFonts w:ascii="Times New Roman" w:hAnsi="Times New Roman" w:cs="Times New Roman"/>
          <w:sz w:val="28"/>
          <w:szCs w:val="28"/>
        </w:rPr>
        <w:t xml:space="preserve"> </w:t>
      </w:r>
      <w:r w:rsidR="008E1E32">
        <w:rPr>
          <w:rFonts w:ascii="Times New Roman" w:hAnsi="Times New Roman" w:cs="Times New Roman"/>
          <w:sz w:val="28"/>
          <w:szCs w:val="28"/>
        </w:rPr>
        <w:t xml:space="preserve">№ </w:t>
      </w:r>
      <w:r w:rsidR="00EB5034">
        <w:rPr>
          <w:rFonts w:ascii="Times New Roman" w:hAnsi="Times New Roman" w:cs="Times New Roman"/>
          <w:sz w:val="28"/>
          <w:szCs w:val="28"/>
        </w:rPr>
        <w:t>3 в таблиц</w:t>
      </w:r>
      <w:r w:rsidR="00E769BA">
        <w:rPr>
          <w:rFonts w:ascii="Times New Roman" w:hAnsi="Times New Roman" w:cs="Times New Roman"/>
          <w:sz w:val="28"/>
          <w:szCs w:val="28"/>
        </w:rPr>
        <w:t>е</w:t>
      </w:r>
      <w:r w:rsidR="00EB5034">
        <w:rPr>
          <w:rFonts w:ascii="Times New Roman" w:hAnsi="Times New Roman" w:cs="Times New Roman"/>
          <w:sz w:val="28"/>
          <w:szCs w:val="28"/>
        </w:rPr>
        <w:t xml:space="preserve"> паспорта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</w:t>
      </w:r>
    </w:p>
    <w:p w:rsidR="00AC0B25" w:rsidRDefault="00EA3B0B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34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B5034">
        <w:rPr>
          <w:rFonts w:ascii="Times New Roman" w:hAnsi="Times New Roman" w:cs="Times New Roman"/>
          <w:sz w:val="28"/>
          <w:szCs w:val="28"/>
        </w:rPr>
        <w:t>программы «Объемы и источники финансирования</w:t>
      </w:r>
      <w:r w:rsidR="00D55228">
        <w:rPr>
          <w:rFonts w:ascii="Times New Roman" w:hAnsi="Times New Roman" w:cs="Times New Roman"/>
          <w:sz w:val="28"/>
          <w:szCs w:val="28"/>
        </w:rPr>
        <w:t>»</w:t>
      </w:r>
      <w:r w:rsidR="00AC0B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5034" w:rsidRDefault="00EB5034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D55228" w:rsidTr="00D55228">
        <w:tc>
          <w:tcPr>
            <w:tcW w:w="2376" w:type="dxa"/>
          </w:tcPr>
          <w:p w:rsidR="00D55228" w:rsidRDefault="00D55228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941F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7088" w:type="dxa"/>
          </w:tcPr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финансирования: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краевого бюджетов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3E5657">
              <w:rPr>
                <w:rFonts w:ascii="Times New Roman" w:hAnsi="Times New Roman" w:cs="Times New Roman"/>
                <w:sz w:val="28"/>
                <w:szCs w:val="28"/>
              </w:rPr>
              <w:t>196 </w:t>
            </w:r>
            <w:r w:rsidR="004E7A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5657">
              <w:rPr>
                <w:rFonts w:ascii="Times New Roman" w:hAnsi="Times New Roman" w:cs="Times New Roman"/>
                <w:sz w:val="28"/>
                <w:szCs w:val="28"/>
              </w:rPr>
              <w:t>67,59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55228" w:rsidRDefault="003E5657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22 405,00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228" w:rsidRPr="00941FC5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  <w:r w:rsidR="00D552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5228" w:rsidRPr="00941FC5" w:rsidRDefault="004E7AB9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174462,59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41 775,23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9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895,2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36 880,03 тыс. рублей – средства местного бюджета.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5657">
              <w:rPr>
                <w:rFonts w:ascii="Times New Roman" w:hAnsi="Times New Roman"/>
                <w:sz w:val="28"/>
                <w:szCs w:val="28"/>
              </w:rPr>
              <w:t>37 960,19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4 870,50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3E5657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33 089,69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723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AB9">
              <w:rPr>
                <w:rFonts w:ascii="Times New Roman" w:hAnsi="Times New Roman" w:cs="Times New Roman"/>
                <w:sz w:val="28"/>
                <w:szCs w:val="28"/>
              </w:rPr>
              <w:t>40 025,59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723350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4 861,30</w:t>
            </w:r>
            <w:r w:rsidR="00D55228"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4E7AB9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35 164,29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23350">
              <w:rPr>
                <w:rFonts w:ascii="Times New Roman" w:hAnsi="Times New Roman" w:cs="Times New Roman"/>
                <w:sz w:val="28"/>
                <w:szCs w:val="28"/>
              </w:rPr>
              <w:t>38 553,29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723350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3 889,00</w:t>
            </w:r>
            <w:r w:rsidR="00D55228"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Default="00723350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34 664,29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7F152D">
              <w:rPr>
                <w:rFonts w:ascii="Times New Roman" w:hAnsi="Times New Roman"/>
                <w:sz w:val="28"/>
                <w:szCs w:val="28"/>
              </w:rPr>
              <w:t>лей – средства местного бюджета;</w:t>
            </w:r>
          </w:p>
          <w:p w:rsidR="007F152D" w:rsidRPr="00941FC5" w:rsidRDefault="007F152D" w:rsidP="007F152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23350">
              <w:rPr>
                <w:rFonts w:ascii="Times New Roman" w:hAnsi="Times New Roman" w:cs="Times New Roman"/>
                <w:sz w:val="28"/>
                <w:szCs w:val="28"/>
              </w:rPr>
              <w:t>38 553,29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F152D" w:rsidRDefault="00723350" w:rsidP="007F1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3 889,00</w:t>
            </w:r>
            <w:r w:rsidR="007F152D"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7F152D" w:rsidRDefault="00723350" w:rsidP="007F1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34 664,29</w:t>
            </w:r>
            <w:r w:rsidR="007F152D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</w:t>
            </w:r>
          </w:p>
          <w:p w:rsidR="00D55228" w:rsidRDefault="00D55228" w:rsidP="00D55228">
            <w:pPr>
              <w:pStyle w:val="a3"/>
              <w:ind w:right="-2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BB8" w:rsidRDefault="00EA3B0B" w:rsidP="001F1B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8 </w:t>
      </w:r>
      <w:r w:rsidR="00C94171">
        <w:rPr>
          <w:rFonts w:ascii="Times New Roman" w:hAnsi="Times New Roman" w:cs="Times New Roman"/>
          <w:sz w:val="28"/>
          <w:szCs w:val="28"/>
        </w:rPr>
        <w:t>пункт 2</w:t>
      </w:r>
      <w:r w:rsidR="008D1BB8" w:rsidRPr="008D1BB8">
        <w:rPr>
          <w:rFonts w:ascii="Times New Roman" w:hAnsi="Times New Roman" w:cs="Times New Roman"/>
          <w:sz w:val="28"/>
          <w:szCs w:val="28"/>
        </w:rPr>
        <w:t xml:space="preserve"> </w:t>
      </w:r>
      <w:r w:rsidR="008D1BB8">
        <w:rPr>
          <w:rFonts w:ascii="Times New Roman" w:hAnsi="Times New Roman" w:cs="Times New Roman"/>
          <w:sz w:val="28"/>
          <w:szCs w:val="28"/>
        </w:rPr>
        <w:t xml:space="preserve">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изложить в следующей редакции: </w:t>
      </w:r>
    </w:p>
    <w:p w:rsidR="001F1B79" w:rsidRDefault="00C94171" w:rsidP="001F1B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«Всего на реализацию подпрограммных мероприятий потребуется </w:t>
      </w:r>
      <w:r w:rsidR="003E5657">
        <w:rPr>
          <w:rFonts w:ascii="Times New Roman" w:hAnsi="Times New Roman" w:cs="Times New Roman"/>
          <w:sz w:val="28"/>
          <w:szCs w:val="28"/>
        </w:rPr>
        <w:t>196 </w:t>
      </w:r>
      <w:r w:rsidR="004E7AB9">
        <w:rPr>
          <w:rFonts w:ascii="Times New Roman" w:hAnsi="Times New Roman" w:cs="Times New Roman"/>
          <w:sz w:val="28"/>
          <w:szCs w:val="28"/>
        </w:rPr>
        <w:t>8</w:t>
      </w:r>
      <w:r w:rsidR="003E5657">
        <w:rPr>
          <w:rFonts w:ascii="Times New Roman" w:hAnsi="Times New Roman" w:cs="Times New Roman"/>
          <w:sz w:val="28"/>
          <w:szCs w:val="28"/>
        </w:rPr>
        <w:t>67,59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41 775,23 тыс. рублей в 2014 году, </w:t>
      </w:r>
      <w:r w:rsidR="003E5657">
        <w:rPr>
          <w:rFonts w:ascii="Times New Roman" w:hAnsi="Times New Roman" w:cs="Times New Roman"/>
          <w:sz w:val="28"/>
          <w:szCs w:val="28"/>
        </w:rPr>
        <w:t>37 960,19</w:t>
      </w:r>
      <w:r>
        <w:rPr>
          <w:rFonts w:ascii="Times New Roman" w:hAnsi="Times New Roman" w:cs="Times New Roman"/>
          <w:sz w:val="28"/>
          <w:szCs w:val="28"/>
        </w:rPr>
        <w:t xml:space="preserve"> - в 2015 году, </w:t>
      </w:r>
      <w:r w:rsidR="004E7AB9">
        <w:rPr>
          <w:rFonts w:ascii="Times New Roman" w:hAnsi="Times New Roman" w:cs="Times New Roman"/>
          <w:sz w:val="28"/>
          <w:szCs w:val="28"/>
        </w:rPr>
        <w:t>40 025,59</w:t>
      </w:r>
      <w:r>
        <w:rPr>
          <w:rFonts w:ascii="Times New Roman" w:hAnsi="Times New Roman" w:cs="Times New Roman"/>
          <w:sz w:val="28"/>
          <w:szCs w:val="28"/>
        </w:rPr>
        <w:t xml:space="preserve"> - в 2016 году, </w:t>
      </w:r>
      <w:r w:rsidR="00723350">
        <w:rPr>
          <w:rFonts w:ascii="Times New Roman" w:hAnsi="Times New Roman" w:cs="Times New Roman"/>
          <w:sz w:val="28"/>
          <w:szCs w:val="28"/>
        </w:rPr>
        <w:t>38 553,29</w:t>
      </w:r>
      <w:r>
        <w:rPr>
          <w:rFonts w:ascii="Times New Roman" w:hAnsi="Times New Roman" w:cs="Times New Roman"/>
          <w:sz w:val="28"/>
          <w:szCs w:val="28"/>
        </w:rPr>
        <w:t xml:space="preserve"> – в 2017 году, </w:t>
      </w:r>
      <w:r w:rsidR="00723350">
        <w:rPr>
          <w:rFonts w:ascii="Times New Roman" w:hAnsi="Times New Roman" w:cs="Times New Roman"/>
          <w:sz w:val="28"/>
          <w:szCs w:val="28"/>
        </w:rPr>
        <w:t>38 553,29</w:t>
      </w:r>
      <w:r>
        <w:rPr>
          <w:rFonts w:ascii="Times New Roman" w:hAnsi="Times New Roman" w:cs="Times New Roman"/>
          <w:sz w:val="28"/>
          <w:szCs w:val="28"/>
        </w:rPr>
        <w:t xml:space="preserve"> – в 2018 году.».</w:t>
      </w:r>
    </w:p>
    <w:p w:rsidR="00EA3B0B" w:rsidRDefault="00EA3B0B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Приложени</w:t>
      </w:r>
      <w:r w:rsidR="00C63B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B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 к </w:t>
      </w:r>
      <w:r w:rsidR="00B57BC9">
        <w:rPr>
          <w:rFonts w:ascii="Times New Roman" w:hAnsi="Times New Roman" w:cs="Times New Roman"/>
          <w:sz w:val="28"/>
          <w:szCs w:val="28"/>
        </w:rPr>
        <w:t>подпрограмме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изложить в новой редакции согласно приложени</w:t>
      </w:r>
      <w:r w:rsidR="00C63BE0">
        <w:rPr>
          <w:rFonts w:ascii="Times New Roman" w:hAnsi="Times New Roman" w:cs="Times New Roman"/>
          <w:sz w:val="28"/>
          <w:szCs w:val="28"/>
        </w:rPr>
        <w:t>ю</w:t>
      </w:r>
      <w:r w:rsidR="00B57BC9">
        <w:rPr>
          <w:rFonts w:ascii="Times New Roman" w:hAnsi="Times New Roman" w:cs="Times New Roman"/>
          <w:sz w:val="28"/>
          <w:szCs w:val="28"/>
        </w:rPr>
        <w:t xml:space="preserve"> </w:t>
      </w:r>
      <w:r w:rsidR="00C63BE0">
        <w:rPr>
          <w:rFonts w:ascii="Times New Roman" w:hAnsi="Times New Roman" w:cs="Times New Roman"/>
          <w:sz w:val="28"/>
          <w:szCs w:val="28"/>
        </w:rPr>
        <w:t>№</w:t>
      </w:r>
      <w:r w:rsidR="00723350">
        <w:rPr>
          <w:rFonts w:ascii="Times New Roman" w:hAnsi="Times New Roman" w:cs="Times New Roman"/>
          <w:sz w:val="28"/>
          <w:szCs w:val="28"/>
        </w:rPr>
        <w:t>1</w:t>
      </w:r>
      <w:r w:rsidR="00B57B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57BC9" w:rsidRDefault="00637605" w:rsidP="004E7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AB9">
        <w:rPr>
          <w:rFonts w:ascii="Times New Roman" w:hAnsi="Times New Roman" w:cs="Times New Roman"/>
          <w:sz w:val="28"/>
          <w:szCs w:val="28"/>
        </w:rPr>
        <w:t>4)</w:t>
      </w:r>
      <w:r w:rsidR="00B57BC9">
        <w:rPr>
          <w:rFonts w:ascii="Times New Roman" w:hAnsi="Times New Roman" w:cs="Times New Roman"/>
          <w:sz w:val="28"/>
          <w:szCs w:val="28"/>
        </w:rPr>
        <w:t xml:space="preserve"> Приложения 5,</w:t>
      </w:r>
      <w:r w:rsidR="00501712">
        <w:rPr>
          <w:rFonts w:ascii="Times New Roman" w:hAnsi="Times New Roman" w:cs="Times New Roman"/>
          <w:sz w:val="28"/>
          <w:szCs w:val="28"/>
        </w:rPr>
        <w:t xml:space="preserve"> </w:t>
      </w:r>
      <w:r w:rsidR="00B57BC9">
        <w:rPr>
          <w:rFonts w:ascii="Times New Roman" w:hAnsi="Times New Roman" w:cs="Times New Roman"/>
          <w:sz w:val="28"/>
          <w:szCs w:val="28"/>
        </w:rPr>
        <w:t xml:space="preserve">6 к программе изложить в новой редакции согласно приложениям </w:t>
      </w:r>
      <w:r w:rsidR="00C63BE0">
        <w:rPr>
          <w:rFonts w:ascii="Times New Roman" w:hAnsi="Times New Roman" w:cs="Times New Roman"/>
          <w:sz w:val="28"/>
          <w:szCs w:val="28"/>
        </w:rPr>
        <w:t>№</w:t>
      </w:r>
      <w:r w:rsidR="004E7AB9">
        <w:rPr>
          <w:rFonts w:ascii="Times New Roman" w:hAnsi="Times New Roman" w:cs="Times New Roman"/>
          <w:sz w:val="28"/>
          <w:szCs w:val="28"/>
        </w:rPr>
        <w:t>2</w:t>
      </w:r>
      <w:r w:rsidR="001F1B79">
        <w:rPr>
          <w:rFonts w:ascii="Times New Roman" w:hAnsi="Times New Roman" w:cs="Times New Roman"/>
          <w:sz w:val="28"/>
          <w:szCs w:val="28"/>
        </w:rPr>
        <w:t xml:space="preserve">, </w:t>
      </w:r>
      <w:r w:rsidR="00C63BE0">
        <w:rPr>
          <w:rFonts w:ascii="Times New Roman" w:hAnsi="Times New Roman" w:cs="Times New Roman"/>
          <w:sz w:val="28"/>
          <w:szCs w:val="28"/>
        </w:rPr>
        <w:t>№</w:t>
      </w:r>
      <w:r w:rsidR="004E7AB9">
        <w:rPr>
          <w:rFonts w:ascii="Times New Roman" w:hAnsi="Times New Roman" w:cs="Times New Roman"/>
          <w:sz w:val="28"/>
          <w:szCs w:val="28"/>
        </w:rPr>
        <w:t>3</w:t>
      </w:r>
      <w:r w:rsidR="00B57B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E7AB9" w:rsidRDefault="004E7AB9" w:rsidP="004E7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Дополнить</w:t>
      </w:r>
      <w:r w:rsidR="00C63BE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C63B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</w:t>
      </w:r>
      <w:r w:rsidR="00744D7A">
        <w:rPr>
          <w:rFonts w:ascii="Times New Roman" w:hAnsi="Times New Roman" w:cs="Times New Roman"/>
          <w:sz w:val="28"/>
          <w:szCs w:val="28"/>
        </w:rPr>
        <w:t xml:space="preserve"> «Подпрограмма «Управление муниципальным долгом Пировского района»» муниципальную </w:t>
      </w:r>
      <w:r w:rsidR="00744D7A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Пировского района «Управление муниципальными финансами» согласно приложению </w:t>
      </w:r>
      <w:r w:rsidR="00C63BE0">
        <w:rPr>
          <w:rFonts w:ascii="Times New Roman" w:hAnsi="Times New Roman" w:cs="Times New Roman"/>
          <w:sz w:val="28"/>
          <w:szCs w:val="28"/>
        </w:rPr>
        <w:t>№</w:t>
      </w:r>
      <w:r w:rsidR="00744D7A">
        <w:rPr>
          <w:rFonts w:ascii="Times New Roman" w:hAnsi="Times New Roman" w:cs="Times New Roman"/>
          <w:sz w:val="28"/>
          <w:szCs w:val="28"/>
        </w:rPr>
        <w:t>4 к настоящему постановлению.</w:t>
      </w:r>
    </w:p>
    <w:p w:rsidR="00D71E76" w:rsidRDefault="00D71E76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6E618F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>районной газете «Заря.</w:t>
      </w: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3BE0" w:rsidTr="00C63BE0">
        <w:tc>
          <w:tcPr>
            <w:tcW w:w="4785" w:type="dxa"/>
          </w:tcPr>
          <w:p w:rsidR="00C63BE0" w:rsidRDefault="00C63BE0" w:rsidP="00D71E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C63BE0" w:rsidRDefault="00C63BE0" w:rsidP="00D71E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Пировского района</w:t>
            </w:r>
          </w:p>
        </w:tc>
        <w:tc>
          <w:tcPr>
            <w:tcW w:w="4786" w:type="dxa"/>
          </w:tcPr>
          <w:p w:rsidR="00C63BE0" w:rsidRDefault="00C63BE0" w:rsidP="00D71E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E0" w:rsidRDefault="00C63BE0" w:rsidP="00C63BE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А.Г.Гольм</w:t>
            </w:r>
          </w:p>
        </w:tc>
      </w:tr>
    </w:tbl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Default="005A1FF0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Default="005A1FF0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Default="005A1FF0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A1FF0" w:rsidSect="00B719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1FF0" w:rsidRDefault="005A1FF0" w:rsidP="005A1FF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 администрации Пировского района</w:t>
      </w:r>
    </w:p>
    <w:p w:rsidR="005A1FF0" w:rsidRDefault="005A1FF0" w:rsidP="005A1FF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20 февраля 2016г. №</w:t>
      </w:r>
      <w:r w:rsidR="00166D5F">
        <w:rPr>
          <w:rFonts w:ascii="Times New Roman" w:hAnsi="Times New Roman"/>
          <w:sz w:val="28"/>
          <w:szCs w:val="28"/>
        </w:rPr>
        <w:t>51-п</w:t>
      </w:r>
    </w:p>
    <w:p w:rsidR="005A1FF0" w:rsidRDefault="005A1FF0" w:rsidP="005A1FF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5A1FF0" w:rsidRDefault="005A1FF0" w:rsidP="005A1FF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5A1FF0" w:rsidRDefault="005A1FF0" w:rsidP="005A1FF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поселений Пировского района» </w:t>
      </w:r>
    </w:p>
    <w:p w:rsidR="005A1FF0" w:rsidRDefault="005A1FF0" w:rsidP="005A1FF0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1275"/>
        <w:gridCol w:w="708"/>
        <w:gridCol w:w="709"/>
        <w:gridCol w:w="992"/>
        <w:gridCol w:w="567"/>
        <w:gridCol w:w="1203"/>
        <w:gridCol w:w="1203"/>
        <w:gridCol w:w="1276"/>
        <w:gridCol w:w="1062"/>
        <w:gridCol w:w="1276"/>
        <w:gridCol w:w="1276"/>
        <w:gridCol w:w="2128"/>
      </w:tblGrid>
      <w:tr w:rsidR="005A1FF0" w:rsidTr="005A1FF0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5A1FF0" w:rsidTr="005A1FF0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1FF0" w:rsidRDefault="005A1FF0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финансовый годгод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1FF0" w:rsidTr="005A1FF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1FF0" w:rsidRDefault="005A1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подпрограммы: обеспечение равных условий для устойчивого и эффективного исполнения расходных обязательств поселений, обеспечение сбалансированности и повышение финансовой самостоятельности местных бюджетов</w:t>
            </w:r>
          </w:p>
        </w:tc>
      </w:tr>
      <w:tr w:rsidR="005A1FF0" w:rsidTr="005A1FF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1FF0" w:rsidRDefault="005A1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1: </w:t>
            </w:r>
            <w:r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финансовой устойчивости бюджетов поселений</w:t>
            </w:r>
          </w:p>
        </w:tc>
      </w:tr>
      <w:tr w:rsidR="005A1FF0" w:rsidTr="005A1FF0">
        <w:trPr>
          <w:trHeight w:val="151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1.1: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дотаций на выравнивание бюджетной обеспеченности поселений из районного фонда финансовой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0110001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31004,63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размер бюджетной обеспеченности поселений Пировского района после выравнивания не менее 1,7 тыс. рублей ежегодно</w:t>
            </w:r>
          </w:p>
          <w:p w:rsidR="005A1FF0" w:rsidRDefault="005A1FF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1FF0" w:rsidTr="005A1FF0">
        <w:trPr>
          <w:trHeight w:val="36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46506,93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1FF0" w:rsidTr="005A1FF0">
        <w:trPr>
          <w:trHeight w:val="208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1.3:</w:t>
            </w:r>
          </w:p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субвенций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0117601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530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4895,20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9765,70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размер бюджетной обеспеченности поселений Пировского района после выравнивания не менее 1,7 тыс. рублей ежегодно</w:t>
            </w:r>
          </w:p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FF0" w:rsidTr="005A1FF0">
        <w:trPr>
          <w:trHeight w:val="113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4861,30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12639,30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FF0" w:rsidTr="005A1FF0">
        <w:trPr>
          <w:trHeight w:val="156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1.4:</w:t>
            </w:r>
          </w:p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0110013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21377,71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17587,38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38965,09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5A1FF0" w:rsidTr="005A1FF0">
        <w:trPr>
          <w:trHeight w:val="36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19661,98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19161,98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16161,98</w:t>
            </w:r>
          </w:p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57985,94</w:t>
            </w:r>
          </w:p>
          <w:p w:rsidR="005A1FF0" w:rsidRDefault="005A1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Default="005A1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FF0" w:rsidTr="005A1FF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2: </w:t>
            </w:r>
            <w:r>
              <w:rPr>
                <w:rFonts w:ascii="Times New Roman" w:hAnsi="Times New Roman"/>
                <w:sz w:val="20"/>
                <w:szCs w:val="20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5A1FF0" w:rsidTr="005A1FF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2.1:</w:t>
            </w:r>
          </w:p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Сохранение единых нормативов отчислений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местные бюджеты от налога на </w:t>
            </w:r>
            <w:r>
              <w:rPr>
                <w:rFonts w:ascii="Times New Roman" w:hAnsi="Times New Roman"/>
                <w:sz w:val="20"/>
                <w:szCs w:val="20"/>
              </w:rPr>
              <w:t>прибыль организаций и от налога на доходы физических лиц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и неналоговых доходов местных бюджетов в общем объеме доходов местных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бюджетов (2,9 млн.рублей в 2013 году, 3,2 млн.рублей в 2014 году, 3,1 млн.рублей в 2015 году, 4,7 млн.рублей в 2016 году)</w:t>
            </w:r>
          </w:p>
        </w:tc>
      </w:tr>
      <w:tr w:rsidR="005A1FF0" w:rsidTr="005A1FF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2.2:</w:t>
            </w:r>
          </w:p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дотаций на выравнивание бюджетной обеспеченности муниципальных районов (городских округов) края дополнительными нормативами отчислений от налога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объема налоговых и неналоговых доходов местных бюджетов в общем объеме доходов местных бюджетов (2,9 млн.рублей в 2013 году, 3,2 млн.рублей в 2014 году, 3,1 млн.рублей в 2015 году, 4,7 млн.рублей в 2016 году)</w:t>
            </w:r>
          </w:p>
        </w:tc>
      </w:tr>
      <w:tr w:rsidR="005A1FF0" w:rsidTr="005A1FF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3: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5A1FF0" w:rsidTr="005A1FF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5A1F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.1:</w:t>
            </w:r>
          </w:p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регулярного и оперативного мониторинга финансовой ситуации в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FF0" w:rsidRDefault="005A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</w:tbl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 администрации Пировского района от 20 февраля 2016 г. №</w:t>
      </w:r>
      <w:r w:rsidR="00166D5F">
        <w:rPr>
          <w:rFonts w:ascii="Times New Roman" w:hAnsi="Times New Roman" w:cs="Times New Roman"/>
          <w:sz w:val="28"/>
          <w:szCs w:val="28"/>
        </w:rPr>
        <w:t>51-п</w:t>
      </w:r>
    </w:p>
    <w:p w:rsidR="005A1FF0" w:rsidRDefault="005A1FF0" w:rsidP="005A1FF0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1FF0" w:rsidRPr="00173566" w:rsidRDefault="005A1FF0" w:rsidP="005A1FF0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7081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A1FF0" w:rsidRPr="00270813" w:rsidRDefault="005A1FF0" w:rsidP="005A1FF0">
      <w:pPr>
        <w:autoSpaceDE w:val="0"/>
        <w:autoSpaceDN w:val="0"/>
        <w:adjustRightInd w:val="0"/>
        <w:ind w:left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270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270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70813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270813">
        <w:rPr>
          <w:rFonts w:ascii="Times New Roman" w:hAnsi="Times New Roman"/>
          <w:sz w:val="28"/>
          <w:szCs w:val="28"/>
        </w:rPr>
        <w:t xml:space="preserve"> финансами</w:t>
      </w:r>
      <w:r>
        <w:rPr>
          <w:rFonts w:ascii="Times New Roman" w:hAnsi="Times New Roman"/>
          <w:sz w:val="28"/>
          <w:szCs w:val="28"/>
        </w:rPr>
        <w:t>»</w:t>
      </w:r>
    </w:p>
    <w:p w:rsidR="005A1FF0" w:rsidRPr="00270813" w:rsidRDefault="005A1FF0" w:rsidP="005A1FF0">
      <w:pPr>
        <w:jc w:val="center"/>
        <w:rPr>
          <w:rFonts w:ascii="Times New Roman" w:hAnsi="Times New Roman"/>
          <w:sz w:val="28"/>
          <w:szCs w:val="28"/>
        </w:rPr>
      </w:pPr>
      <w:r w:rsidRPr="00270813">
        <w:rPr>
          <w:rFonts w:ascii="Times New Roman" w:hAnsi="Times New Roman"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270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70813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1701"/>
        <w:gridCol w:w="851"/>
        <w:gridCol w:w="850"/>
        <w:gridCol w:w="1418"/>
        <w:gridCol w:w="709"/>
        <w:gridCol w:w="1275"/>
        <w:gridCol w:w="1276"/>
        <w:gridCol w:w="1276"/>
        <w:gridCol w:w="1276"/>
        <w:gridCol w:w="1193"/>
        <w:gridCol w:w="1500"/>
      </w:tblGrid>
      <w:tr w:rsidR="005A1FF0" w:rsidRPr="00C97C0A" w:rsidTr="000C66F4">
        <w:trPr>
          <w:trHeight w:val="6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FF0" w:rsidRPr="00270813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5A1FF0" w:rsidRPr="00C97C0A" w:rsidTr="000C66F4">
        <w:trPr>
          <w:trHeight w:val="13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270813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2014-201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5A1FF0" w:rsidRPr="00C97C0A" w:rsidTr="000C66F4">
        <w:trPr>
          <w:trHeight w:val="11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1FF0" w:rsidRPr="00C97C0A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0A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>финансами</w:t>
            </w:r>
          </w:p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333243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46 545,17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43 885,67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44858,80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43062,12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43049,62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221401,38</w:t>
            </w:r>
          </w:p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FF0" w:rsidRPr="00C97C0A" w:rsidTr="000C66F4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333243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46 545,17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43 885,67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44858,80</w:t>
            </w:r>
          </w:p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43062,12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43049,62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221401,38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FF0" w:rsidRPr="00C97C0A" w:rsidTr="000C66F4">
        <w:trPr>
          <w:trHeight w:val="55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C0A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41 775,23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8D427C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37 960,19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40025,59</w:t>
            </w:r>
          </w:p>
          <w:p w:rsidR="005A1FF0" w:rsidRPr="00C97C0A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C97C0A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38553,29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C97C0A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38553,29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C97C0A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196867,59</w:t>
            </w:r>
          </w:p>
        </w:tc>
      </w:tr>
      <w:tr w:rsidR="005A1FF0" w:rsidRPr="00C97C0A" w:rsidTr="000C66F4">
        <w:trPr>
          <w:trHeight w:val="141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  <w:p w:rsidR="005A1FF0" w:rsidRPr="008D427C" w:rsidRDefault="005A1FF0" w:rsidP="000C66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  <w:p w:rsidR="005A1FF0" w:rsidRPr="008D427C" w:rsidRDefault="005A1FF0" w:rsidP="000C66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0110001</w:t>
            </w:r>
          </w:p>
          <w:p w:rsidR="005A1FF0" w:rsidRPr="008D427C" w:rsidRDefault="005A1FF0" w:rsidP="000C66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  <w:p w:rsidR="005A1FF0" w:rsidRPr="008D427C" w:rsidRDefault="005A1FF0" w:rsidP="000C66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15502,32</w:t>
            </w:r>
          </w:p>
          <w:p w:rsidR="005A1FF0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15 502,31</w:t>
            </w:r>
          </w:p>
          <w:p w:rsidR="005A1FF0" w:rsidRPr="008D427C" w:rsidRDefault="005A1FF0" w:rsidP="000C6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A1FF0" w:rsidRPr="008D427C" w:rsidRDefault="005A1FF0" w:rsidP="000C6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Pr="008D427C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A1FF0" w:rsidRPr="008D427C" w:rsidRDefault="005A1FF0" w:rsidP="000C6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A1FF0" w:rsidRPr="008D427C" w:rsidRDefault="005A1FF0" w:rsidP="000C6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31004,63</w:t>
            </w:r>
          </w:p>
          <w:p w:rsidR="005A1FF0" w:rsidRPr="008D427C" w:rsidRDefault="005A1FF0" w:rsidP="000C6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C97C0A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46506,93</w:t>
            </w:r>
          </w:p>
        </w:tc>
      </w:tr>
      <w:tr w:rsidR="005A1FF0" w:rsidRPr="00C97C0A" w:rsidTr="000C66F4">
        <w:trPr>
          <w:trHeight w:val="42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C97C0A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0117601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9765 ,70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C97C0A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3889,00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3889,00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12639,30</w:t>
            </w:r>
          </w:p>
        </w:tc>
      </w:tr>
      <w:tr w:rsidR="005A1FF0" w:rsidRPr="00C97C0A" w:rsidTr="000C66F4">
        <w:trPr>
          <w:trHeight w:val="55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C97C0A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21377,71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38965,09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C97C0A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19661,98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19161,98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19161,98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57985,94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CF2061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C0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>программы и прочие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34203E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4826,59</w:t>
            </w:r>
            <w:r w:rsidRPr="002708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4508,83</w:t>
            </w:r>
            <w:r w:rsidRPr="002708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4496,33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24527,17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8884,74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4255,75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4255,75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12767,25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885,29</w:t>
            </w:r>
          </w:p>
        </w:tc>
      </w:tr>
      <w:tr w:rsidR="005A1FF0" w:rsidRPr="00C97C0A" w:rsidTr="000C66F4">
        <w:trPr>
          <w:trHeight w:val="29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1050,50</w:t>
            </w:r>
          </w:p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84,60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762,31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5A1FF0" w:rsidRPr="00C97C0A" w:rsidTr="000C66F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CF2061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C97C0A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долгом Пировского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270813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6,62</w:t>
            </w:r>
          </w:p>
        </w:tc>
      </w:tr>
      <w:tr w:rsidR="005A1FF0" w:rsidRPr="00C97C0A" w:rsidTr="000C66F4">
        <w:trPr>
          <w:trHeight w:val="8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270813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6,62</w:t>
            </w:r>
          </w:p>
        </w:tc>
      </w:tr>
    </w:tbl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 к постановлению администрации Пировского района от 20 февраля 2016г. №</w:t>
      </w:r>
      <w:r w:rsidR="00166D5F">
        <w:rPr>
          <w:rFonts w:ascii="Times New Roman" w:hAnsi="Times New Roman" w:cs="Times New Roman"/>
          <w:sz w:val="28"/>
          <w:szCs w:val="28"/>
        </w:rPr>
        <w:t>51-п</w:t>
      </w:r>
    </w:p>
    <w:p w:rsidR="005A1FF0" w:rsidRDefault="005A1FF0" w:rsidP="005A1FF0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1FF0" w:rsidRPr="008B71B9" w:rsidRDefault="005A1FF0" w:rsidP="005A1FF0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86BD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A1FF0" w:rsidRPr="00E86BDD" w:rsidRDefault="005A1FF0" w:rsidP="005A1FF0">
      <w:pPr>
        <w:autoSpaceDE w:val="0"/>
        <w:autoSpaceDN w:val="0"/>
        <w:adjustRightInd w:val="0"/>
        <w:ind w:left="779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E86BD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8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E86BDD">
        <w:rPr>
          <w:rFonts w:ascii="Times New Roman" w:hAnsi="Times New Roman"/>
          <w:sz w:val="28"/>
          <w:szCs w:val="28"/>
        </w:rPr>
        <w:t xml:space="preserve"> 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E86BDD">
        <w:rPr>
          <w:rFonts w:ascii="Times New Roman" w:hAnsi="Times New Roman"/>
          <w:sz w:val="28"/>
          <w:szCs w:val="28"/>
        </w:rPr>
        <w:t xml:space="preserve"> финансами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5A1FF0" w:rsidRPr="00E86BDD" w:rsidRDefault="005A1FF0" w:rsidP="005A1FF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5A1FF0" w:rsidRPr="00E86BDD" w:rsidRDefault="005A1FF0" w:rsidP="005A1F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6BDD">
        <w:rPr>
          <w:rFonts w:ascii="Times New Roman" w:hAnsi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6BDD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E86BDD">
        <w:rPr>
          <w:rFonts w:ascii="Times New Roman" w:hAnsi="Times New Roman"/>
          <w:sz w:val="28"/>
          <w:szCs w:val="28"/>
        </w:rPr>
        <w:t xml:space="preserve"> с учетом источников финансирования, в том числе средств </w:t>
      </w:r>
      <w:r>
        <w:rPr>
          <w:rFonts w:ascii="Times New Roman" w:hAnsi="Times New Roman"/>
          <w:sz w:val="28"/>
          <w:szCs w:val="28"/>
        </w:rPr>
        <w:t xml:space="preserve">краевого и </w:t>
      </w:r>
      <w:r w:rsidRPr="00E86BDD">
        <w:rPr>
          <w:rFonts w:ascii="Times New Roman" w:hAnsi="Times New Roman"/>
          <w:sz w:val="28"/>
          <w:szCs w:val="28"/>
          <w:lang w:eastAsia="ru-RU"/>
        </w:rPr>
        <w:t xml:space="preserve">федерального бюджета и бюджетов муниципальных образований </w:t>
      </w:r>
      <w:r>
        <w:rPr>
          <w:rFonts w:ascii="Times New Roman" w:hAnsi="Times New Roman"/>
          <w:sz w:val="28"/>
          <w:szCs w:val="28"/>
          <w:lang w:eastAsia="ru-RU"/>
        </w:rPr>
        <w:t>Пировского района</w:t>
      </w:r>
    </w:p>
    <w:p w:rsidR="005A1FF0" w:rsidRPr="00E86BDD" w:rsidRDefault="005A1FF0" w:rsidP="005A1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4"/>
        <w:gridCol w:w="2771"/>
        <w:gridCol w:w="14"/>
        <w:gridCol w:w="2682"/>
        <w:gridCol w:w="22"/>
        <w:gridCol w:w="1276"/>
        <w:gridCol w:w="18"/>
        <w:gridCol w:w="1291"/>
        <w:gridCol w:w="25"/>
        <w:gridCol w:w="1319"/>
        <w:gridCol w:w="1035"/>
        <w:gridCol w:w="17"/>
        <w:gridCol w:w="1131"/>
        <w:gridCol w:w="25"/>
        <w:gridCol w:w="1081"/>
        <w:gridCol w:w="35"/>
      </w:tblGrid>
      <w:tr w:rsidR="005A1FF0" w:rsidRPr="00F667FA" w:rsidTr="00166D5F">
        <w:trPr>
          <w:trHeight w:val="600"/>
        </w:trPr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86" w:type="dxa"/>
            <w:gridSpan w:val="2"/>
            <w:vMerge w:val="restart"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2698" w:type="dxa"/>
            <w:gridSpan w:val="2"/>
            <w:vMerge w:val="restart"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272" w:type="dxa"/>
            <w:gridSpan w:val="1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5A1FF0" w:rsidRPr="00F667FA" w:rsidTr="00166D5F">
        <w:trPr>
          <w:trHeight w:val="782"/>
        </w:trPr>
        <w:tc>
          <w:tcPr>
            <w:tcW w:w="1597" w:type="dxa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3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316" w:type="dxa"/>
            <w:gridSpan w:val="2"/>
            <w:shd w:val="clear" w:color="auto" w:fill="auto"/>
            <w:hideMark/>
          </w:tcPr>
          <w:p w:rsidR="005A1FF0" w:rsidRPr="00F667FA" w:rsidRDefault="005A1FF0" w:rsidP="000C66F4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316" w:type="dxa"/>
            <w:shd w:val="clear" w:color="auto" w:fill="auto"/>
            <w:hideMark/>
          </w:tcPr>
          <w:p w:rsidR="005A1FF0" w:rsidRPr="00F667FA" w:rsidRDefault="005A1FF0" w:rsidP="000C66F4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52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56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16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за 2014-201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5A1FF0" w:rsidRPr="00F667FA" w:rsidTr="00166D5F">
        <w:trPr>
          <w:trHeight w:val="315"/>
        </w:trPr>
        <w:tc>
          <w:tcPr>
            <w:tcW w:w="1597" w:type="dxa"/>
            <w:vMerge w:val="restart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программа</w:t>
            </w:r>
          </w:p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6" w:type="dxa"/>
            <w:gridSpan w:val="2"/>
            <w:vMerge w:val="restart"/>
            <w:shd w:val="clear" w:color="auto" w:fill="auto"/>
            <w:hideMark/>
          </w:tcPr>
          <w:p w:rsidR="005A1FF0" w:rsidRPr="00F667FA" w:rsidRDefault="005A1FF0" w:rsidP="000C6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муниципальными </w:t>
            </w:r>
            <w:r w:rsidRPr="00F667FA">
              <w:rPr>
                <w:rFonts w:ascii="Times New Roman" w:hAnsi="Times New Roman"/>
                <w:sz w:val="20"/>
                <w:szCs w:val="20"/>
              </w:rPr>
              <w:t>финансами</w:t>
            </w:r>
          </w:p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46 545,17 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43885,67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44858,80</w:t>
            </w:r>
          </w:p>
        </w:tc>
        <w:tc>
          <w:tcPr>
            <w:tcW w:w="1052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43062,12</w:t>
            </w:r>
          </w:p>
        </w:tc>
        <w:tc>
          <w:tcPr>
            <w:tcW w:w="1156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43049,62</w:t>
            </w: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221401,38</w:t>
            </w:r>
          </w:p>
        </w:tc>
      </w:tr>
      <w:tr w:rsidR="005A1FF0" w:rsidRPr="00F667FA" w:rsidTr="00166D5F">
        <w:trPr>
          <w:trHeight w:val="300"/>
        </w:trPr>
        <w:tc>
          <w:tcPr>
            <w:tcW w:w="1597" w:type="dxa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FF0" w:rsidRPr="00F667FA" w:rsidTr="00166D5F">
        <w:trPr>
          <w:trHeight w:val="300"/>
        </w:trPr>
        <w:tc>
          <w:tcPr>
            <w:tcW w:w="1597" w:type="dxa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052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6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FF0" w:rsidRPr="00F667FA" w:rsidTr="00166D5F">
        <w:trPr>
          <w:trHeight w:val="300"/>
        </w:trPr>
        <w:tc>
          <w:tcPr>
            <w:tcW w:w="1597" w:type="dxa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297278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4 895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5 782,41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4861,30</w:t>
            </w:r>
          </w:p>
        </w:tc>
        <w:tc>
          <w:tcPr>
            <w:tcW w:w="1052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3889,00</w:t>
            </w:r>
          </w:p>
        </w:tc>
        <w:tc>
          <w:tcPr>
            <w:tcW w:w="1156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3889,00</w:t>
            </w: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23316,91</w:t>
            </w:r>
          </w:p>
        </w:tc>
      </w:tr>
      <w:tr w:rsidR="005A1FF0" w:rsidRPr="00F667FA" w:rsidTr="00166D5F">
        <w:trPr>
          <w:trHeight w:val="300"/>
        </w:trPr>
        <w:tc>
          <w:tcPr>
            <w:tcW w:w="1597" w:type="dxa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FF0" w:rsidRPr="00F667FA" w:rsidTr="00166D5F">
        <w:trPr>
          <w:trHeight w:val="245"/>
        </w:trPr>
        <w:tc>
          <w:tcPr>
            <w:tcW w:w="1597" w:type="dxa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бюджеты муниципальных образований 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41 649,97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38103,26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39997,50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39173,12</w:t>
            </w:r>
          </w:p>
        </w:tc>
        <w:tc>
          <w:tcPr>
            <w:tcW w:w="1156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39160,62</w:t>
            </w: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198084,47</w:t>
            </w:r>
          </w:p>
        </w:tc>
      </w:tr>
      <w:tr w:rsidR="005A1FF0" w:rsidRPr="00F667FA" w:rsidTr="00166D5F">
        <w:trPr>
          <w:trHeight w:val="256"/>
        </w:trPr>
        <w:tc>
          <w:tcPr>
            <w:tcW w:w="1597" w:type="dxa"/>
            <w:vMerge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FF0" w:rsidRPr="00F667FA" w:rsidTr="00166D5F">
        <w:trPr>
          <w:trHeight w:val="300"/>
        </w:trPr>
        <w:tc>
          <w:tcPr>
            <w:tcW w:w="1597" w:type="dxa"/>
            <w:vMerge w:val="restart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786" w:type="dxa"/>
            <w:gridSpan w:val="2"/>
            <w:vMerge w:val="restart"/>
            <w:shd w:val="clear" w:color="auto" w:fill="auto"/>
            <w:hideMark/>
          </w:tcPr>
          <w:p w:rsidR="005A1FF0" w:rsidRPr="008F395E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</w:t>
            </w:r>
            <w:r w:rsidRPr="00F667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образований </w:t>
            </w:r>
            <w:r>
              <w:rPr>
                <w:rFonts w:ascii="Times New Roman" w:hAnsi="Times New Roman"/>
                <w:sz w:val="20"/>
                <w:szCs w:val="20"/>
              </w:rPr>
              <w:t>Пировского района</w:t>
            </w: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F504A6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41 775,23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F667FA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37960,19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F667FA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40025,59</w:t>
            </w:r>
          </w:p>
        </w:tc>
        <w:tc>
          <w:tcPr>
            <w:tcW w:w="1052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38 553,29</w:t>
            </w:r>
          </w:p>
        </w:tc>
        <w:tc>
          <w:tcPr>
            <w:tcW w:w="1156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38 553,29</w:t>
            </w: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F667FA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196867,59</w:t>
            </w:r>
          </w:p>
        </w:tc>
      </w:tr>
      <w:tr w:rsidR="005A1FF0" w:rsidRPr="00F667FA" w:rsidTr="00166D5F">
        <w:trPr>
          <w:trHeight w:val="300"/>
        </w:trPr>
        <w:tc>
          <w:tcPr>
            <w:tcW w:w="1597" w:type="dxa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FF0" w:rsidRPr="00F667FA" w:rsidTr="00166D5F">
        <w:trPr>
          <w:trHeight w:val="300"/>
        </w:trPr>
        <w:tc>
          <w:tcPr>
            <w:tcW w:w="1597" w:type="dxa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FF0" w:rsidRPr="00F667FA" w:rsidTr="00166D5F">
        <w:trPr>
          <w:trHeight w:val="300"/>
        </w:trPr>
        <w:tc>
          <w:tcPr>
            <w:tcW w:w="1597" w:type="dxa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297278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4 895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4870,50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4861,30</w:t>
            </w:r>
          </w:p>
        </w:tc>
        <w:tc>
          <w:tcPr>
            <w:tcW w:w="1052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3889,00</w:t>
            </w:r>
          </w:p>
        </w:tc>
        <w:tc>
          <w:tcPr>
            <w:tcW w:w="1156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3889,00</w:t>
            </w: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22405,00</w:t>
            </w:r>
          </w:p>
        </w:tc>
      </w:tr>
      <w:tr w:rsidR="005A1FF0" w:rsidRPr="00F667FA" w:rsidTr="00166D5F">
        <w:trPr>
          <w:trHeight w:val="300"/>
        </w:trPr>
        <w:tc>
          <w:tcPr>
            <w:tcW w:w="1597" w:type="dxa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FF0" w:rsidRPr="00F667FA" w:rsidTr="00166D5F">
        <w:trPr>
          <w:trHeight w:val="300"/>
        </w:trPr>
        <w:tc>
          <w:tcPr>
            <w:tcW w:w="1597" w:type="dxa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36 880,03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33089,69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35164,29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34664,29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gridSpan w:val="2"/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34664,29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174462,59</w:t>
            </w:r>
          </w:p>
        </w:tc>
      </w:tr>
      <w:tr w:rsidR="005A1FF0" w:rsidRPr="00F667FA" w:rsidTr="00166D5F">
        <w:trPr>
          <w:trHeight w:val="300"/>
        </w:trPr>
        <w:tc>
          <w:tcPr>
            <w:tcW w:w="1597" w:type="dxa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2"/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16" w:type="dxa"/>
            <w:gridSpan w:val="3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  <w:noWrap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600"/>
        </w:trPr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782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F667FA" w:rsidRDefault="005A1FF0" w:rsidP="000C66F4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F667FA" w:rsidRDefault="005A1FF0" w:rsidP="000C66F4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за 2014-201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F667FA">
              <w:rPr>
                <w:rFonts w:ascii="Times New Roman" w:hAnsi="Times New Roman"/>
                <w:sz w:val="20"/>
                <w:szCs w:val="20"/>
              </w:rPr>
              <w:t xml:space="preserve"> программы и прочие мероприятия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4 769,94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5 925,48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4826,59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4508,83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4496,33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24527,17</w:t>
            </w: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911,91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911,91</w:t>
            </w: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4 769,94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5013,57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4826,59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4508,83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4496,33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23615,26</w:t>
            </w: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муниципальным долгом Пировского района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1FF0" w:rsidRPr="00F667FA" w:rsidTr="00166D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00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E86BDD" w:rsidRDefault="005A1FF0" w:rsidP="000C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FF0" w:rsidRPr="00E86BDD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</w:tr>
    </w:tbl>
    <w:p w:rsidR="005A1FF0" w:rsidRDefault="005A1FF0" w:rsidP="005A1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  <w:sectPr w:rsidR="005A1FF0" w:rsidSect="005A1F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1FF0" w:rsidRPr="00687833" w:rsidRDefault="005A1FF0" w:rsidP="005A1FF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8783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687833">
        <w:rPr>
          <w:rFonts w:ascii="Times New Roman" w:hAnsi="Times New Roman"/>
          <w:sz w:val="28"/>
          <w:szCs w:val="28"/>
        </w:rPr>
        <w:t xml:space="preserve"> к постановлению администрации Пировского района</w:t>
      </w:r>
    </w:p>
    <w:p w:rsidR="005A1FF0" w:rsidRPr="00687833" w:rsidRDefault="005A1FF0" w:rsidP="005A1FF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87833">
        <w:rPr>
          <w:rFonts w:ascii="Times New Roman" w:hAnsi="Times New Roman"/>
          <w:sz w:val="28"/>
          <w:szCs w:val="28"/>
        </w:rPr>
        <w:t xml:space="preserve"> от 20 февраля 2016г. №</w:t>
      </w:r>
      <w:r w:rsidR="00166D5F">
        <w:rPr>
          <w:rFonts w:ascii="Times New Roman" w:hAnsi="Times New Roman"/>
          <w:sz w:val="28"/>
          <w:szCs w:val="28"/>
        </w:rPr>
        <w:t>51-п</w:t>
      </w:r>
      <w:bookmarkStart w:id="0" w:name="_GoBack"/>
      <w:bookmarkEnd w:id="0"/>
    </w:p>
    <w:p w:rsidR="005A1FF0" w:rsidRPr="00687833" w:rsidRDefault="005A1FF0" w:rsidP="005A1FF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A1FF0" w:rsidRDefault="005A1FF0" w:rsidP="005A1FF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61C9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  <w:r w:rsidRPr="00661C9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61C9B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/>
          <w:sz w:val="28"/>
          <w:szCs w:val="28"/>
        </w:rPr>
        <w:t xml:space="preserve"> «Управление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661C9B">
        <w:rPr>
          <w:rFonts w:ascii="Times New Roman" w:hAnsi="Times New Roman"/>
          <w:sz w:val="28"/>
          <w:szCs w:val="28"/>
        </w:rPr>
        <w:t xml:space="preserve"> финансами» </w:t>
      </w:r>
    </w:p>
    <w:p w:rsidR="005A1FF0" w:rsidRPr="00661C9B" w:rsidRDefault="005A1FF0" w:rsidP="005A1FF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5A1FF0" w:rsidRPr="00661C9B" w:rsidRDefault="005A1FF0" w:rsidP="005A1FF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» 1. Паспорт подпрограммы</w:t>
      </w:r>
    </w:p>
    <w:p w:rsidR="005A1FF0" w:rsidRPr="00661C9B" w:rsidRDefault="005A1FF0" w:rsidP="005A1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6960"/>
      </w:tblGrid>
      <w:tr w:rsidR="005A1FF0" w:rsidRPr="00213C60" w:rsidTr="000C66F4">
        <w:trPr>
          <w:trHeight w:val="521"/>
          <w:tblCellSpacing w:w="5" w:type="nil"/>
        </w:trPr>
        <w:tc>
          <w:tcPr>
            <w:tcW w:w="2400" w:type="dxa"/>
          </w:tcPr>
          <w:p w:rsidR="005A1FF0" w:rsidRPr="00213C6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A1FF0" w:rsidRPr="00213C6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60" w:type="dxa"/>
          </w:tcPr>
          <w:p w:rsidR="005A1FF0" w:rsidRPr="00213C6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» (далее – подпрограмма)</w:t>
            </w:r>
          </w:p>
        </w:tc>
      </w:tr>
      <w:tr w:rsidR="005A1FF0" w:rsidRPr="00213C60" w:rsidTr="000C66F4">
        <w:trPr>
          <w:trHeight w:val="600"/>
          <w:tblCellSpacing w:w="5" w:type="nil"/>
        </w:trPr>
        <w:tc>
          <w:tcPr>
            <w:tcW w:w="2400" w:type="dxa"/>
          </w:tcPr>
          <w:p w:rsidR="005A1FF0" w:rsidRPr="00213C6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5A1FF0" w:rsidRPr="00213C60" w:rsidRDefault="005A1FF0" w:rsidP="000C6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C60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213C60">
              <w:rPr>
                <w:rFonts w:ascii="Times New Roman" w:hAnsi="Times New Roman"/>
                <w:sz w:val="28"/>
                <w:szCs w:val="28"/>
              </w:rPr>
              <w:t xml:space="preserve"> финансами» </w:t>
            </w:r>
          </w:p>
        </w:tc>
      </w:tr>
      <w:tr w:rsidR="005A1FF0" w:rsidRPr="00213C60" w:rsidTr="000C66F4">
        <w:trPr>
          <w:trHeight w:val="493"/>
          <w:tblCellSpacing w:w="5" w:type="nil"/>
        </w:trPr>
        <w:tc>
          <w:tcPr>
            <w:tcW w:w="2400" w:type="dxa"/>
          </w:tcPr>
          <w:p w:rsidR="005A1FF0" w:rsidRPr="00213C6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6960" w:type="dxa"/>
          </w:tcPr>
          <w:p w:rsidR="005A1FF0" w:rsidRPr="00213C6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Пировского района</w:t>
            </w:r>
          </w:p>
        </w:tc>
      </w:tr>
      <w:tr w:rsidR="005A1FF0" w:rsidRPr="00213C60" w:rsidTr="000C66F4">
        <w:trPr>
          <w:trHeight w:val="459"/>
          <w:tblCellSpacing w:w="5" w:type="nil"/>
        </w:trPr>
        <w:tc>
          <w:tcPr>
            <w:tcW w:w="2400" w:type="dxa"/>
          </w:tcPr>
          <w:p w:rsidR="005A1FF0" w:rsidRPr="00213C6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60" w:type="dxa"/>
          </w:tcPr>
          <w:p w:rsidR="005A1FF0" w:rsidRPr="00213C6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долг)</w:t>
            </w:r>
          </w:p>
        </w:tc>
      </w:tr>
      <w:tr w:rsidR="005A1FF0" w:rsidRPr="00213C60" w:rsidTr="000C66F4">
        <w:trPr>
          <w:trHeight w:val="1543"/>
          <w:tblCellSpacing w:w="5" w:type="nil"/>
        </w:trPr>
        <w:tc>
          <w:tcPr>
            <w:tcW w:w="2400" w:type="dxa"/>
          </w:tcPr>
          <w:p w:rsidR="005A1FF0" w:rsidRPr="00213C60" w:rsidRDefault="005A1FF0" w:rsidP="000C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60" w:type="dxa"/>
          </w:tcPr>
          <w:p w:rsidR="005A1FF0" w:rsidRPr="00213C60" w:rsidRDefault="005A1FF0" w:rsidP="000C66F4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1. Сохранение объема и 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долга на экономически безопасном уровне;</w:t>
            </w:r>
          </w:p>
          <w:p w:rsidR="005A1FF0" w:rsidRPr="00213C60" w:rsidRDefault="005A1FF0" w:rsidP="000C66F4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2. Соблюдение ограничений по объему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долга и расходам на его обслуживание установленных федеральным законодательством;</w:t>
            </w:r>
          </w:p>
          <w:p w:rsidR="005A1FF0" w:rsidRPr="00213C60" w:rsidRDefault="005A1FF0" w:rsidP="000C66F4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3.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долга</w:t>
            </w:r>
          </w:p>
        </w:tc>
      </w:tr>
      <w:tr w:rsidR="005A1FF0" w:rsidRPr="00213C60" w:rsidTr="000C66F4">
        <w:trPr>
          <w:trHeight w:val="3296"/>
          <w:tblCellSpacing w:w="5" w:type="nil"/>
        </w:trPr>
        <w:tc>
          <w:tcPr>
            <w:tcW w:w="2400" w:type="dxa"/>
          </w:tcPr>
          <w:p w:rsidR="005A1FF0" w:rsidRPr="00213C60" w:rsidRDefault="005A1FF0" w:rsidP="000C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6960" w:type="dxa"/>
          </w:tcPr>
          <w:p w:rsidR="005A1FF0" w:rsidRPr="00213C60" w:rsidRDefault="005A1FF0" w:rsidP="000C66F4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1. 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долга к доходам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без учета утвержденного объема безвозмездных поступлений –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ежегодно;</w:t>
            </w:r>
          </w:p>
          <w:p w:rsidR="005A1FF0" w:rsidRPr="00213C60" w:rsidRDefault="005A1FF0" w:rsidP="000C66F4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2. Отношение годовой суммы платежей на погашение и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долга к доходам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менее 30 процентов ежегодно;</w:t>
            </w:r>
          </w:p>
          <w:p w:rsidR="005A1FF0" w:rsidRPr="00213C60" w:rsidRDefault="005A1FF0" w:rsidP="000C66F4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3. Доля расходов на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долга в объеме расходов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за исключением объема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которые осуществляются за счет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субвенций, предоставляемых из бюджетов бюджетной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Российской Федерации – менее 15 процентов ежегодно;</w:t>
            </w:r>
          </w:p>
          <w:p w:rsidR="005A1FF0" w:rsidRPr="00213C60" w:rsidRDefault="005A1FF0" w:rsidP="000C66F4">
            <w:pPr>
              <w:pStyle w:val="ConsPlusCell"/>
              <w:ind w:left="7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4. Отсутствие просроченной задолженности по долговым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обязательствам (далее – долговые обязательства)</w:t>
            </w:r>
          </w:p>
        </w:tc>
      </w:tr>
      <w:tr w:rsidR="005A1FF0" w:rsidRPr="00213C60" w:rsidTr="000C66F4">
        <w:trPr>
          <w:trHeight w:val="600"/>
          <w:tblCellSpacing w:w="5" w:type="nil"/>
        </w:trPr>
        <w:tc>
          <w:tcPr>
            <w:tcW w:w="2400" w:type="dxa"/>
          </w:tcPr>
          <w:p w:rsidR="005A1FF0" w:rsidRPr="00213C60" w:rsidRDefault="005A1FF0" w:rsidP="000C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960" w:type="dxa"/>
          </w:tcPr>
          <w:p w:rsidR="005A1FF0" w:rsidRPr="00213C60" w:rsidRDefault="005A1FF0" w:rsidP="000C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- 31.12.201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1FF0" w:rsidRPr="00213C60" w:rsidTr="000C66F4">
        <w:trPr>
          <w:trHeight w:val="132"/>
          <w:tblCellSpacing w:w="5" w:type="nil"/>
        </w:trPr>
        <w:tc>
          <w:tcPr>
            <w:tcW w:w="2400" w:type="dxa"/>
          </w:tcPr>
          <w:p w:rsidR="005A1FF0" w:rsidRPr="00213C60" w:rsidRDefault="005A1FF0" w:rsidP="000C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5A1FF0" w:rsidRPr="00213C6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реализацию мероприятий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A1FF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6,62,0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1FF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1FF0" w:rsidRPr="00213C60" w:rsidRDefault="005A1FF0" w:rsidP="000C66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- 0,0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1FF0" w:rsidRPr="00213C60" w:rsidTr="000C66F4">
        <w:trPr>
          <w:trHeight w:val="416"/>
          <w:tblCellSpacing w:w="5" w:type="nil"/>
        </w:trPr>
        <w:tc>
          <w:tcPr>
            <w:tcW w:w="2400" w:type="dxa"/>
          </w:tcPr>
          <w:p w:rsidR="005A1FF0" w:rsidRPr="00213C60" w:rsidRDefault="005A1FF0" w:rsidP="000C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:rsidR="005A1FF0" w:rsidRPr="00213C60" w:rsidRDefault="005A1FF0" w:rsidP="000C6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Пировского района</w:t>
            </w:r>
          </w:p>
        </w:tc>
      </w:tr>
    </w:tbl>
    <w:p w:rsidR="005A1FF0" w:rsidRPr="00661C9B" w:rsidRDefault="005A1FF0" w:rsidP="005A1FF0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2. Постановка общекраевой проблемы </w:t>
      </w:r>
      <w:r w:rsidRPr="00661C9B">
        <w:rPr>
          <w:rFonts w:ascii="Times New Roman" w:hAnsi="Times New Roman" w:cs="Times New Roman"/>
          <w:sz w:val="28"/>
          <w:szCs w:val="28"/>
        </w:rPr>
        <w:br/>
        <w:t>и обоснование необходимости разработки подпрограммы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(далее – долговая политика) является неотъемлемой частью финансовой политики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. Эффективное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61C9B">
        <w:rPr>
          <w:rFonts w:ascii="Times New Roman" w:hAnsi="Times New Roman" w:cs="Times New Roman"/>
          <w:sz w:val="28"/>
          <w:szCs w:val="28"/>
        </w:rPr>
        <w:t xml:space="preserve">долгом означает не только своевременное обслуживание долговых обязательств, но и проведение рациональной долговой политики направленной на сохранение объема и структуры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на экономически безопасном уровне при соблюдении ограничений, установленных федеральным законодательством.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Динамика и структура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в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61C9B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hyperlink w:anchor="Par2064" w:tooltip="Ссылка на текущий документ" w:history="1">
        <w:r w:rsidRPr="00661C9B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661C9B">
        <w:rPr>
          <w:rFonts w:ascii="Times New Roman" w:hAnsi="Times New Roman" w:cs="Times New Roman"/>
          <w:sz w:val="28"/>
          <w:szCs w:val="28"/>
        </w:rPr>
        <w:t xml:space="preserve"> № 1 к подпрограмме.</w:t>
      </w:r>
    </w:p>
    <w:p w:rsidR="005A1FF0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присутствуют целевые бюджетные кредиты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гарантии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гарантии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1FF0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Приоритетом долговой политики является обеспечение сбалансированности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Опережающий (по сравнению с доходами) рост расходной части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61C9B">
        <w:rPr>
          <w:rFonts w:ascii="Times New Roman" w:hAnsi="Times New Roman" w:cs="Times New Roman"/>
          <w:sz w:val="28"/>
          <w:szCs w:val="28"/>
        </w:rPr>
        <w:t>бюджета формирует в ближайшие годы устойчивый дефицит, основным источником покрытия которого выступают заемные средства.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предполагается решение следующих </w:t>
      </w:r>
      <w:r w:rsidRPr="00661C9B">
        <w:rPr>
          <w:rFonts w:ascii="Times New Roman" w:hAnsi="Times New Roman" w:cs="Times New Roman"/>
          <w:sz w:val="28"/>
          <w:szCs w:val="28"/>
        </w:rPr>
        <w:lastRenderedPageBreak/>
        <w:t>задач:</w:t>
      </w:r>
    </w:p>
    <w:p w:rsidR="005A1FF0" w:rsidRPr="00661C9B" w:rsidRDefault="005A1FF0" w:rsidP="005A1FF0">
      <w:pPr>
        <w:pStyle w:val="ConsPlusCel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сохранение объема и структуры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уровне;</w:t>
      </w:r>
    </w:p>
    <w:p w:rsidR="005A1FF0" w:rsidRPr="00661C9B" w:rsidRDefault="005A1FF0" w:rsidP="005A1FF0">
      <w:pPr>
        <w:pStyle w:val="ConsPlusCel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соблюдение ограничений по объему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и расходам на его обслуживание установленных федеральным законодательством;</w:t>
      </w:r>
    </w:p>
    <w:p w:rsidR="005A1FF0" w:rsidRPr="00661C9B" w:rsidRDefault="005A1FF0" w:rsidP="005A1FF0">
      <w:pPr>
        <w:pStyle w:val="ConsPlusCel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соблюдение сроков исполнения долговых обязательств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;</w:t>
      </w:r>
    </w:p>
    <w:p w:rsidR="005A1FF0" w:rsidRPr="00661C9B" w:rsidRDefault="005A1FF0" w:rsidP="005A1FF0">
      <w:pPr>
        <w:pStyle w:val="ConsPlusCel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3. Основная цель, задачи, этапы и сроки выполнения подпрограммы, </w:t>
      </w:r>
      <w:r w:rsidRPr="00661C9B">
        <w:rPr>
          <w:rFonts w:ascii="Times New Roman" w:hAnsi="Times New Roman" w:cs="Times New Roman"/>
          <w:sz w:val="28"/>
          <w:szCs w:val="28"/>
        </w:rPr>
        <w:br/>
        <w:t>целевые индикаторы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Приоритетом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1C9B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подпрограммы является проведение ответственной долговой политики.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долгом.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5A1FF0" w:rsidRPr="00661C9B" w:rsidRDefault="005A1FF0" w:rsidP="005A1FF0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сохранение объема и структуры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на экономически безопасном уровне;</w:t>
      </w:r>
    </w:p>
    <w:p w:rsidR="005A1FF0" w:rsidRPr="00661C9B" w:rsidRDefault="005A1FF0" w:rsidP="005A1FF0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соблюдение ограничений по объему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и расходам на его обслуживание установленных федеральным законодательством;</w:t>
      </w:r>
    </w:p>
    <w:p w:rsidR="005A1FF0" w:rsidRPr="00661C9B" w:rsidRDefault="005A1FF0" w:rsidP="005A1FF0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соблюдение сроков исполнения долговых обязательств;</w:t>
      </w:r>
    </w:p>
    <w:p w:rsidR="005A1FF0" w:rsidRPr="00661C9B" w:rsidRDefault="005A1FF0" w:rsidP="005A1FF0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Исполнителем мероприятий подпрограммы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В силу решаемых в рамках подпрограммы задач выделяются три этапа: первый этап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год, второй этап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год, третий этап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5A1FF0" w:rsidRPr="00661C9B" w:rsidRDefault="005A1FF0" w:rsidP="005A1FF0">
      <w:pPr>
        <w:pStyle w:val="ConsPlusCel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Доля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в объеме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объема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за соответствующий год к объему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за соответствующий год, представленным в </w:t>
      </w:r>
      <w:r>
        <w:rPr>
          <w:rFonts w:ascii="Times New Roman" w:hAnsi="Times New Roman" w:cs="Times New Roman"/>
          <w:sz w:val="28"/>
          <w:szCs w:val="28"/>
        </w:rPr>
        <w:t>решениях Совета депутатов</w:t>
      </w:r>
      <w:r w:rsidRPr="00661C9B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а также 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 Расчет показателя происходит в процентах.</w:t>
      </w:r>
    </w:p>
    <w:p w:rsidR="005A1FF0" w:rsidRPr="00661C9B" w:rsidRDefault="005A1FF0" w:rsidP="005A1FF0">
      <w:pPr>
        <w:pStyle w:val="ConsPlusCel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Отношение годовой суммы платежей на погашение и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к доходам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годовой суммы платежей на погашение и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за </w:t>
      </w:r>
      <w:r w:rsidRPr="00661C9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год к доходам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за соответствующий год, представленным в </w:t>
      </w:r>
      <w:r>
        <w:rPr>
          <w:rFonts w:ascii="Times New Roman" w:hAnsi="Times New Roman" w:cs="Times New Roman"/>
          <w:sz w:val="28"/>
          <w:szCs w:val="28"/>
        </w:rPr>
        <w:t>решениях Совета депутатов</w:t>
      </w:r>
      <w:r w:rsidRPr="00661C9B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а также 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 Расчет показателя происходит в процентах.</w:t>
      </w:r>
    </w:p>
    <w:p w:rsidR="005A1FF0" w:rsidRPr="00661C9B" w:rsidRDefault="005A1FF0" w:rsidP="005A1FF0">
      <w:pPr>
        <w:pStyle w:val="ConsPlusCel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Просроченная задолженность по долговым обязательствам.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Сведения о наличии просроченной задолженности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за соответствующий год доступны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 Показатель измеряется в тысячах рублей.</w:t>
      </w:r>
    </w:p>
    <w:p w:rsidR="005A1FF0" w:rsidRPr="00661C9B" w:rsidRDefault="005A1FF0" w:rsidP="005A1FF0">
      <w:pPr>
        <w:pStyle w:val="ConsPlusCel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к доходам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без учета утвержденного объема безвозмездных поступлений.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за соответствующий год к доходам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без учета утвержденного объема безвозмездных поступлений за соответствующий год, представленным в </w:t>
      </w:r>
      <w:r>
        <w:rPr>
          <w:rFonts w:ascii="Times New Roman" w:hAnsi="Times New Roman" w:cs="Times New Roman"/>
          <w:sz w:val="28"/>
          <w:szCs w:val="28"/>
        </w:rPr>
        <w:t>решениях Совета депутатов</w:t>
      </w:r>
      <w:r w:rsidRPr="00661C9B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а также 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 Расчет показателя происходит в процентах.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Значения целевых индикаторов подпрограммы за период реализации подпрограммы представлены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1C9B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4. Механизм реализации подпрограммы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Источником финансирования подпрограммы является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В рамках подпрограммы реализуются </w:t>
      </w:r>
      <w:r>
        <w:rPr>
          <w:rFonts w:ascii="Times New Roman" w:hAnsi="Times New Roman" w:cs="Times New Roman"/>
          <w:sz w:val="28"/>
          <w:szCs w:val="28"/>
        </w:rPr>
        <w:t xml:space="preserve">четыри </w:t>
      </w:r>
      <w:r w:rsidRPr="00661C9B">
        <w:rPr>
          <w:rFonts w:ascii="Times New Roman" w:hAnsi="Times New Roman" w:cs="Times New Roman"/>
          <w:sz w:val="28"/>
          <w:szCs w:val="28"/>
        </w:rPr>
        <w:t>основных мероприятия.</w:t>
      </w:r>
    </w:p>
    <w:p w:rsidR="005A1FF0" w:rsidRPr="00661C9B" w:rsidRDefault="005A1FF0" w:rsidP="005A1FF0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Разработка программы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(далее – программы) на очередной финансовый год и плановый период.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Разработка програм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1C9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Бюджетным </w:t>
      </w:r>
      <w:hyperlink r:id="rId8" w:tooltip="&quot;Бюджетный кодекс Российской Федерации&quot; от 31.07.1998 N 145-ФЗ (ред. от 07.05.2013){КонсультантПлюс}" w:history="1">
        <w:r w:rsidRPr="00661C9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61C9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661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18.1</w:t>
      </w:r>
      <w:r w:rsidRPr="009235A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61C9B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Pr="009235A2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661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Pr="009235A2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661C9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235A2">
        <w:rPr>
          <w:rFonts w:ascii="Times New Roman" w:eastAsia="Calibri" w:hAnsi="Times New Roman" w:cs="Times New Roman"/>
          <w:sz w:val="28"/>
          <w:szCs w:val="28"/>
          <w:lang w:eastAsia="en-US"/>
        </w:rPr>
        <w:t>139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661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1C9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>
        <w:rPr>
          <w:rFonts w:ascii="Times New Roman" w:hAnsi="Times New Roman" w:cs="Times New Roman"/>
          <w:sz w:val="28"/>
          <w:szCs w:val="28"/>
        </w:rPr>
        <w:t>Пировском районе</w:t>
      </w:r>
      <w:r w:rsidRPr="00661C9B">
        <w:rPr>
          <w:rFonts w:ascii="Times New Roman" w:hAnsi="Times New Roman" w:cs="Times New Roman"/>
          <w:sz w:val="28"/>
          <w:szCs w:val="28"/>
        </w:rPr>
        <w:t>».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Проект програм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1C9B">
        <w:rPr>
          <w:rFonts w:ascii="Times New Roman" w:hAnsi="Times New Roman" w:cs="Times New Roman"/>
          <w:sz w:val="28"/>
          <w:szCs w:val="28"/>
        </w:rPr>
        <w:t xml:space="preserve"> разрабатываются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показателей проекта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5A1FF0" w:rsidRPr="00661C9B" w:rsidRDefault="005A1FF0" w:rsidP="005A1FF0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Мониторинг состояния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и расходов на его обслуживание на предмет соответствия ограничениям, установленным Бюджетным </w:t>
      </w:r>
      <w:hyperlink r:id="rId9" w:tooltip="&quot;Бюджетный кодекс Российской Федерации&quot; от 31.07.1998 N 145-ФЗ (ред. от 07.05.2013){КонсультантПлюс}" w:history="1">
        <w:r w:rsidRPr="00661C9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61C9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Реализация указанных мероприятий позволит обеспечить соблюдение бюджетных ограничений, установленных Бюджетным кодексом Российской Федерации по предельному объему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долга, предельному объему расходов на обслуживание, дефициту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бюджета. Ограничение должны соблюдаться при утверждении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период, отчета о его исполнении и внесении изменений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 на очередной финансовый год и плановый </w:t>
      </w:r>
      <w:r w:rsidRPr="00661C9B">
        <w:rPr>
          <w:rFonts w:ascii="Times New Roman" w:hAnsi="Times New Roman" w:cs="Times New Roman"/>
          <w:sz w:val="28"/>
          <w:szCs w:val="28"/>
        </w:rPr>
        <w:lastRenderedPageBreak/>
        <w:t>период.</w:t>
      </w:r>
    </w:p>
    <w:p w:rsidR="005A1FF0" w:rsidRPr="00661C9B" w:rsidRDefault="005A1FF0" w:rsidP="005A1FF0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Планирование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планирование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в объеме, необходимом для полного и своевременного исполнения долговых обязательств по выплате процентных платежей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61C9B">
        <w:rPr>
          <w:rFonts w:ascii="Times New Roman" w:hAnsi="Times New Roman" w:cs="Times New Roman"/>
          <w:sz w:val="28"/>
          <w:szCs w:val="28"/>
        </w:rPr>
        <w:t>долгу.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по обслуживанию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вознкают в результате заключения соглашений о предоставлении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бюджетных кредитов.</w:t>
      </w:r>
    </w:p>
    <w:p w:rsidR="005A1FF0" w:rsidRPr="00661C9B" w:rsidRDefault="005A1FF0" w:rsidP="005A1FF0">
      <w:pPr>
        <w:pStyle w:val="ConsPlusCel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Соблюдение сроков исполнения долговых обязательств </w:t>
      </w:r>
      <w:r>
        <w:rPr>
          <w:rFonts w:ascii="Times New Roman" w:hAnsi="Times New Roman" w:cs="Times New Roman"/>
          <w:sz w:val="28"/>
          <w:szCs w:val="28"/>
        </w:rPr>
        <w:t>Пировкого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предполагает своевременное исполнение всех принятых </w:t>
      </w:r>
      <w:r>
        <w:rPr>
          <w:rFonts w:ascii="Times New Roman" w:hAnsi="Times New Roman" w:cs="Times New Roman"/>
          <w:sz w:val="28"/>
          <w:szCs w:val="28"/>
        </w:rPr>
        <w:t>Пировским районом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долговых обязательств и, как следствие, отсутствие просроченной задолженности, включенной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долговую книгу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5. Управление подпрограммой и контроль за ходом ее выполнения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1. Текущее управление реализацией подпрограммы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отбор исполнителей мероприятий подпрограммы;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координацию исполнения подпрограммных мероприятий, мониторинг их реализации;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подпрограммы;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подготовку отчетов о реализации подпрограммы.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для обеспечения мониторинга и анализа хода реализации подпрограммы организует ведение ежеквартальной отчетности (за первый, второй и третий кварталы).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 в рамках подготовки годового отчета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1C9B">
        <w:rPr>
          <w:rFonts w:ascii="Times New Roman" w:hAnsi="Times New Roman" w:cs="Times New Roman"/>
          <w:sz w:val="28"/>
          <w:szCs w:val="28"/>
        </w:rPr>
        <w:t xml:space="preserve"> программе: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подпрограммы с обоснованием отклонений по показателям, плановые значения по которым не достигнуты;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информацию о целевых показателях и показателях результативности, </w:t>
      </w:r>
      <w:r w:rsidRPr="00661C9B">
        <w:rPr>
          <w:rFonts w:ascii="Times New Roman" w:hAnsi="Times New Roman" w:cs="Times New Roman"/>
          <w:sz w:val="28"/>
          <w:szCs w:val="28"/>
        </w:rPr>
        <w:br/>
        <w:t xml:space="preserve">о значениях данных показателей, которые планировалось достигнуть в ходе </w:t>
      </w:r>
      <w:r w:rsidRPr="00661C9B">
        <w:rPr>
          <w:rFonts w:ascii="Times New Roman" w:hAnsi="Times New Roman" w:cs="Times New Roman"/>
          <w:sz w:val="28"/>
          <w:szCs w:val="28"/>
        </w:rPr>
        <w:lastRenderedPageBreak/>
        <w:t>реализации подпрограммы, и фактически достигнутые значения показателей;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описание результатов реализации отдельных мероприятий подпрограммы в отчетном году;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перечень нереализованных или реализованных частично мероприятий подпрограммы (из числа предусмотренных к реализации в отчетном году) с указанием причин их реализации не в полном объеме;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анализ последствий не реализации отдельных мероприятий подпрограммы на реализацию программы и анализ факторов, повлиявших на их реализацию (не реализацию);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информацию об использовании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на реализацию отдельных мероприятий подпрограммы </w:t>
      </w:r>
      <w:r w:rsidRPr="00661C9B">
        <w:rPr>
          <w:rFonts w:ascii="Times New Roman" w:hAnsi="Times New Roman" w:cs="Times New Roman"/>
          <w:sz w:val="28"/>
          <w:szCs w:val="28"/>
        </w:rPr>
        <w:br/>
        <w:t xml:space="preserve">с указанием плановых и фактических значений (с расшифровкой по 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бюджета, отдельным мероприятиям подпрограммы, а также по годам реализации подпрограммы);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информацию об использовании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на реализацию подпрограммы с указанием плановых и фактических значений;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подрограммы.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2. Текущий контроль за ходом реализации подпрограммы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текущий контроль за целевым и эффективным расходованием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осуществляет</w:t>
      </w:r>
      <w:r w:rsidRPr="00496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</w:t>
      </w:r>
      <w:r w:rsidRPr="00661C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осуществляет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Пировского района.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61C9B">
        <w:rPr>
          <w:rFonts w:ascii="Times New Roman" w:hAnsi="Times New Roman"/>
          <w:sz w:val="28"/>
          <w:szCs w:val="28"/>
        </w:rPr>
        <w:t>6. Оценка социально-экономической эффективности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5A1FF0" w:rsidRPr="00661C9B" w:rsidRDefault="005A1FF0" w:rsidP="005A1FF0">
      <w:pPr>
        <w:pStyle w:val="ConsPlusCell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сохранение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долга на уровне, не превышающем объем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без учета объема безвозмездных поступлений;</w:t>
      </w:r>
    </w:p>
    <w:p w:rsidR="005A1FF0" w:rsidRPr="00661C9B" w:rsidRDefault="005A1FF0" w:rsidP="005A1FF0">
      <w:pPr>
        <w:pStyle w:val="ConsPlusCell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отсутствие выплат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сумм, связанных с несвоевременным исполнением долговых обязательств.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7. Мероприятия подпрограммы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1C9B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1C9B">
        <w:rPr>
          <w:rFonts w:ascii="Times New Roman" w:hAnsi="Times New Roman"/>
          <w:sz w:val="28"/>
          <w:szCs w:val="28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Мероприятия подпрограммы реализуются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на реализацию мероприятий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6,62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6,62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1FF0" w:rsidRPr="00661C9B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1FF0" w:rsidRPr="00471583" w:rsidRDefault="005A1FF0" w:rsidP="005A1F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1FF0" w:rsidRDefault="005A1FF0" w:rsidP="005A1FF0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A1FF0" w:rsidRDefault="005A1FF0" w:rsidP="005A1FF0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5A1FF0" w:rsidRDefault="005A1FF0" w:rsidP="005A1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5A1FF0" w:rsidRDefault="005A1FF0" w:rsidP="005A1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 администрации Пировского района                               О.В.Федорова</w:t>
      </w: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</w:pPr>
    </w:p>
    <w:p w:rsidR="005A1FF0" w:rsidRDefault="005A1FF0" w:rsidP="005A1FF0">
      <w:pPr>
        <w:rPr>
          <w:rFonts w:ascii="Times New Roman" w:hAnsi="Times New Roman"/>
          <w:sz w:val="18"/>
          <w:szCs w:val="18"/>
        </w:rPr>
        <w:sectPr w:rsidR="005A1FF0" w:rsidSect="00990043">
          <w:headerReference w:type="default" r:id="rId10"/>
          <w:footerReference w:type="default" r:id="rId11"/>
          <w:pgSz w:w="11906" w:h="16838"/>
          <w:pgMar w:top="1134" w:right="851" w:bottom="993" w:left="1418" w:header="0" w:footer="0" w:gutter="0"/>
          <w:cols w:space="720"/>
          <w:noEndnote/>
          <w:docGrid w:linePitch="360"/>
        </w:sectPr>
      </w:pPr>
    </w:p>
    <w:p w:rsidR="005A1FF0" w:rsidRPr="00601945" w:rsidRDefault="005A1FF0" w:rsidP="005A1FF0">
      <w:pPr>
        <w:autoSpaceDE w:val="0"/>
        <w:autoSpaceDN w:val="0"/>
        <w:adjustRightInd w:val="0"/>
        <w:ind w:left="11199"/>
        <w:rPr>
          <w:szCs w:val="28"/>
        </w:rPr>
      </w:pPr>
    </w:p>
    <w:p w:rsidR="005A1FF0" w:rsidRPr="005A1FF0" w:rsidRDefault="005A1FF0" w:rsidP="005A1F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5A1FF0">
        <w:rPr>
          <w:rFonts w:ascii="Times New Roman" w:hAnsi="Times New Roman"/>
          <w:sz w:val="24"/>
          <w:szCs w:val="24"/>
        </w:rPr>
        <w:t xml:space="preserve">Приложение № 1 к </w:t>
      </w:r>
    </w:p>
    <w:p w:rsidR="005A1FF0" w:rsidRPr="005A1FF0" w:rsidRDefault="005A1FF0" w:rsidP="005A1FF0">
      <w:pPr>
        <w:autoSpaceDE w:val="0"/>
        <w:autoSpaceDN w:val="0"/>
        <w:adjustRightInd w:val="0"/>
        <w:ind w:left="11199"/>
        <w:rPr>
          <w:rFonts w:ascii="Times New Roman" w:hAnsi="Times New Roman"/>
          <w:sz w:val="24"/>
          <w:szCs w:val="24"/>
        </w:rPr>
      </w:pPr>
      <w:r w:rsidRPr="005A1FF0">
        <w:rPr>
          <w:rFonts w:ascii="Times New Roman" w:hAnsi="Times New Roman"/>
          <w:sz w:val="24"/>
          <w:szCs w:val="24"/>
        </w:rPr>
        <w:t>подпрограмме «Управление муниципальным долгом Пировского района»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1FF0" w:rsidRPr="005A1FF0" w:rsidRDefault="005A1FF0" w:rsidP="005A1FF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FF0">
        <w:rPr>
          <w:rFonts w:ascii="Times New Roman" w:eastAsia="Times New Roman" w:hAnsi="Times New Roman"/>
          <w:bCs/>
          <w:sz w:val="24"/>
          <w:szCs w:val="24"/>
          <w:lang w:eastAsia="ru-RU"/>
        </w:rPr>
        <w:t>Динамика и структура муниципального долга</w:t>
      </w:r>
    </w:p>
    <w:p w:rsidR="005A1FF0" w:rsidRDefault="005A1FF0" w:rsidP="005A1FF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FF0">
        <w:rPr>
          <w:rFonts w:ascii="Times New Roman" w:eastAsia="Times New Roman" w:hAnsi="Times New Roman"/>
          <w:bCs/>
          <w:sz w:val="24"/>
          <w:szCs w:val="24"/>
          <w:lang w:eastAsia="ru-RU"/>
        </w:rPr>
        <w:t>Пировского района в 2016-2018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5A1FF0" w:rsidRPr="005A1FF0" w:rsidRDefault="005A1FF0" w:rsidP="005A1FF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53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969"/>
        <w:gridCol w:w="1795"/>
        <w:gridCol w:w="1796"/>
        <w:gridCol w:w="1795"/>
        <w:gridCol w:w="1796"/>
        <w:gridCol w:w="1795"/>
        <w:gridCol w:w="1796"/>
      </w:tblGrid>
      <w:tr w:rsidR="005A1FF0" w:rsidRPr="005A1FF0" w:rsidTr="000C66F4">
        <w:trPr>
          <w:trHeight w:val="57"/>
        </w:trPr>
        <w:tc>
          <w:tcPr>
            <w:tcW w:w="581" w:type="dxa"/>
            <w:vMerge w:val="restart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долговых обязательств</w:t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муниципального долга, тыс. рублей</w:t>
            </w:r>
          </w:p>
        </w:tc>
      </w:tr>
      <w:tr w:rsidR="005A1FF0" w:rsidRPr="005A1FF0" w:rsidTr="000C66F4">
        <w:trPr>
          <w:trHeight w:val="157"/>
        </w:trPr>
        <w:tc>
          <w:tcPr>
            <w:tcW w:w="581" w:type="dxa"/>
            <w:vMerge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01.01.2016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01.01.2017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01.01.2018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A1FF0" w:rsidRPr="005A1FF0" w:rsidTr="000C66F4">
        <w:trPr>
          <w:trHeight w:val="57"/>
        </w:trPr>
        <w:tc>
          <w:tcPr>
            <w:tcW w:w="581" w:type="dxa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A1FF0" w:rsidRPr="005A1FF0" w:rsidTr="000C66F4">
        <w:trPr>
          <w:trHeight w:val="828"/>
        </w:trPr>
        <w:tc>
          <w:tcPr>
            <w:tcW w:w="581" w:type="dxa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долг, всего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A1FF0" w:rsidRPr="005A1FF0" w:rsidTr="000C66F4">
        <w:trPr>
          <w:trHeight w:val="828"/>
        </w:trPr>
        <w:tc>
          <w:tcPr>
            <w:tcW w:w="581" w:type="dxa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кредиты, привлеченные в бюджет Пировского района от других бюджетов бюджетной системы Российской Федерации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6,62</w:t>
            </w:r>
          </w:p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FF0" w:rsidRPr="005A1FF0" w:rsidTr="000C66F4">
        <w:trPr>
          <w:trHeight w:val="828"/>
        </w:trPr>
        <w:tc>
          <w:tcPr>
            <w:tcW w:w="581" w:type="dxa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5A1F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гарантии и иные долговые обязательства Пировского района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A1FF0" w:rsidRPr="005A1FF0" w:rsidRDefault="005A1FF0" w:rsidP="000C66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FF0" w:rsidRP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Pr="005A1FF0" w:rsidRDefault="005A1FF0" w:rsidP="005A1FF0">
      <w:pPr>
        <w:rPr>
          <w:rFonts w:ascii="Times New Roman" w:hAnsi="Times New Roman"/>
          <w:sz w:val="24"/>
          <w:szCs w:val="24"/>
        </w:rPr>
      </w:pPr>
      <w:r w:rsidRPr="005A1FF0">
        <w:rPr>
          <w:rFonts w:ascii="Times New Roman" w:hAnsi="Times New Roman"/>
          <w:sz w:val="24"/>
          <w:szCs w:val="24"/>
        </w:rPr>
        <w:t>Руководитель ФУ</w:t>
      </w:r>
    </w:p>
    <w:p w:rsidR="005A1FF0" w:rsidRPr="005A1FF0" w:rsidRDefault="005A1FF0" w:rsidP="005A1FF0">
      <w:pPr>
        <w:rPr>
          <w:rFonts w:ascii="Times New Roman" w:hAnsi="Times New Roman"/>
          <w:sz w:val="24"/>
          <w:szCs w:val="24"/>
        </w:rPr>
      </w:pPr>
      <w:r w:rsidRPr="005A1FF0">
        <w:rPr>
          <w:rFonts w:ascii="Times New Roman" w:hAnsi="Times New Roman"/>
          <w:sz w:val="24"/>
          <w:szCs w:val="24"/>
        </w:rPr>
        <w:t>администрации Пировского района                                                                                                                                                       О.В.Федорова</w:t>
      </w:r>
    </w:p>
    <w:p w:rsidR="005A1FF0" w:rsidRPr="004B6A24" w:rsidRDefault="005A1FF0" w:rsidP="005A1FF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4B6A24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5A1FF0" w:rsidRPr="004B6A24" w:rsidRDefault="005A1FF0" w:rsidP="005A1FF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4B6A24">
        <w:rPr>
          <w:rFonts w:ascii="Times New Roman" w:hAnsi="Times New Roman"/>
          <w:sz w:val="28"/>
          <w:szCs w:val="28"/>
        </w:rPr>
        <w:t xml:space="preserve">к подпрограмме «Управление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4B6A24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4B6A24">
        <w:rPr>
          <w:rFonts w:ascii="Times New Roman" w:hAnsi="Times New Roman"/>
          <w:sz w:val="28"/>
          <w:szCs w:val="28"/>
        </w:rPr>
        <w:t xml:space="preserve">» </w:t>
      </w:r>
    </w:p>
    <w:p w:rsidR="005A1FF0" w:rsidRPr="004B6A24" w:rsidRDefault="005A1FF0" w:rsidP="005A1FF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1FF0" w:rsidRPr="004B6A24" w:rsidRDefault="005A1FF0" w:rsidP="005A1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A24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«Управление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4B6A24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4B6A24">
        <w:rPr>
          <w:rFonts w:ascii="Times New Roman" w:hAnsi="Times New Roman"/>
          <w:sz w:val="28"/>
          <w:szCs w:val="28"/>
        </w:rPr>
        <w:t xml:space="preserve">» 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1"/>
        <w:gridCol w:w="2693"/>
        <w:gridCol w:w="1087"/>
        <w:gridCol w:w="1088"/>
        <w:gridCol w:w="1088"/>
        <w:gridCol w:w="1088"/>
        <w:gridCol w:w="1088"/>
        <w:gridCol w:w="1088"/>
      </w:tblGrid>
      <w:tr w:rsidR="005A1FF0" w:rsidRPr="00A81745" w:rsidTr="000C66F4">
        <w:trPr>
          <w:trHeight w:val="18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измерения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5A1FF0" w:rsidRPr="00A81745" w:rsidTr="000C66F4">
        <w:trPr>
          <w:trHeight w:val="3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F0" w:rsidRPr="00A81745" w:rsidTr="000C66F4">
        <w:trPr>
          <w:trHeight w:val="1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1FF0" w:rsidRPr="00A81745" w:rsidTr="000C66F4">
        <w:trPr>
          <w:trHeight w:val="1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745"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A81745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</w:tr>
      <w:tr w:rsidR="005A1FF0" w:rsidRPr="00A81745" w:rsidTr="000C66F4">
        <w:trPr>
          <w:trHeight w:val="129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к доходам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без учета утвержденного объема безвозмездных поступлений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депутатов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бюджете на очередной финансовый год и плановый период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A81745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A81745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A81745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8174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</w:p>
        </w:tc>
      </w:tr>
      <w:tr w:rsidR="005A1FF0" w:rsidRPr="00A81745" w:rsidTr="000C66F4">
        <w:trPr>
          <w:trHeight w:val="13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spacing w:after="0" w:line="240" w:lineRule="auto"/>
            </w:pPr>
            <w:r w:rsidRPr="00A81745">
              <w:rPr>
                <w:rFonts w:ascii="Times New Roman" w:hAnsi="Times New Roman"/>
                <w:sz w:val="24"/>
                <w:szCs w:val="24"/>
              </w:rPr>
              <w:t xml:space="preserve">Отношение годовой суммы платежей на погашение и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A81745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  <w:r w:rsidRPr="00A81745">
              <w:rPr>
                <w:rFonts w:ascii="Times New Roman" w:hAnsi="Times New Roman"/>
                <w:sz w:val="24"/>
                <w:szCs w:val="24"/>
              </w:rPr>
              <w:t xml:space="preserve"> к доходам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A8174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бюджете на очередной финансовый год и плановый период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&lt;=30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&lt;=30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&lt;=30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</w:p>
        </w:tc>
      </w:tr>
      <w:tr w:rsidR="005A1FF0" w:rsidRPr="00A81745" w:rsidTr="000C66F4">
        <w:trPr>
          <w:trHeight w:val="10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расходов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за исключением объема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субвенций, предоставляемых из бюджетов бюджетной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бюджета,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на очередной финансовый год и плановый период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  <w:r w:rsidRPr="00A81745">
              <w:rPr>
                <w:rFonts w:ascii="Times New Roman" w:hAnsi="Times New Roman"/>
                <w:sz w:val="20"/>
                <w:szCs w:val="20"/>
              </w:rPr>
              <w:t>&lt;=15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</w:p>
        </w:tc>
      </w:tr>
      <w:tr w:rsidR="005A1FF0" w:rsidRPr="00A81745" w:rsidTr="000C66F4">
        <w:trPr>
          <w:trHeight w:val="12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spacing w:after="0" w:line="240" w:lineRule="auto"/>
            </w:pPr>
            <w:r w:rsidRPr="00A81745">
              <w:rPr>
                <w:rFonts w:ascii="Times New Roman" w:hAnsi="Times New Roman"/>
                <w:sz w:val="24"/>
                <w:szCs w:val="24"/>
              </w:rPr>
              <w:t xml:space="preserve">Просроченная задолженность по долговым обязательствам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81745">
              <w:rPr>
                <w:rFonts w:ascii="Times New Roman" w:hAnsi="Times New Roman" w:cs="Times New Roman"/>
                <w:sz w:val="24"/>
                <w:szCs w:val="24"/>
              </w:rPr>
              <w:t xml:space="preserve">долговая книга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1745">
              <w:rPr>
                <w:rFonts w:ascii="Times New Roman" w:hAnsi="Times New Roman" w:cs="Times New Roman"/>
              </w:rPr>
              <w:t>=0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1745">
              <w:rPr>
                <w:rFonts w:ascii="Times New Roman" w:hAnsi="Times New Roman" w:cs="Times New Roman"/>
              </w:rPr>
              <w:t>=0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1745">
              <w:rPr>
                <w:rFonts w:ascii="Times New Roman" w:hAnsi="Times New Roman" w:cs="Times New Roman"/>
              </w:rPr>
              <w:t>=0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F0" w:rsidRPr="00A81745" w:rsidRDefault="005A1FF0" w:rsidP="000C66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1FF0" w:rsidRPr="004B6A24" w:rsidRDefault="005A1FF0" w:rsidP="005A1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Pr="0072090B" w:rsidRDefault="005A1FF0" w:rsidP="005A1FF0">
      <w:pPr>
        <w:autoSpaceDE w:val="0"/>
        <w:autoSpaceDN w:val="0"/>
        <w:adjustRightInd w:val="0"/>
        <w:spacing w:after="0" w:line="240" w:lineRule="auto"/>
        <w:ind w:left="9073" w:firstLine="708"/>
        <w:jc w:val="both"/>
        <w:rPr>
          <w:rFonts w:ascii="Times New Roman" w:hAnsi="Times New Roman"/>
          <w:sz w:val="28"/>
          <w:szCs w:val="28"/>
        </w:rPr>
      </w:pPr>
      <w:r w:rsidRPr="0072090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72090B">
        <w:rPr>
          <w:rFonts w:ascii="Times New Roman" w:hAnsi="Times New Roman"/>
          <w:sz w:val="28"/>
          <w:szCs w:val="28"/>
        </w:rPr>
        <w:t xml:space="preserve"> </w:t>
      </w:r>
    </w:p>
    <w:p w:rsidR="005A1FF0" w:rsidRPr="0072090B" w:rsidRDefault="005A1FF0" w:rsidP="005A1FF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72090B">
        <w:rPr>
          <w:rFonts w:ascii="Times New Roman" w:hAnsi="Times New Roman"/>
          <w:sz w:val="28"/>
          <w:szCs w:val="28"/>
        </w:rPr>
        <w:t xml:space="preserve">к подпрограмме «Управление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090B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72090B">
        <w:rPr>
          <w:rFonts w:ascii="Times New Roman" w:hAnsi="Times New Roman"/>
          <w:sz w:val="28"/>
          <w:szCs w:val="28"/>
        </w:rPr>
        <w:t xml:space="preserve">» </w:t>
      </w:r>
    </w:p>
    <w:p w:rsidR="005A1FF0" w:rsidRPr="0072090B" w:rsidRDefault="005A1FF0" w:rsidP="005A1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FF0" w:rsidRPr="0072090B" w:rsidRDefault="005A1FF0" w:rsidP="005A1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090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«Управление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2090B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72090B">
        <w:rPr>
          <w:rFonts w:ascii="Times New Roman" w:hAnsi="Times New Roman" w:cs="Times New Roman"/>
          <w:sz w:val="28"/>
          <w:szCs w:val="28"/>
        </w:rPr>
        <w:t xml:space="preserve">» </w:t>
      </w:r>
      <w:r w:rsidRPr="0072090B">
        <w:rPr>
          <w:rFonts w:ascii="Times New Roman" w:hAnsi="Times New Roman" w:cs="Times New Roman"/>
          <w:sz w:val="28"/>
          <w:szCs w:val="28"/>
        </w:rPr>
        <w:br/>
        <w:t>с указанием объема средств на их реализацию и ожидаемых результатов</w:t>
      </w:r>
    </w:p>
    <w:p w:rsidR="005A1FF0" w:rsidRPr="0072090B" w:rsidRDefault="005A1FF0" w:rsidP="005A1FF0">
      <w:pPr>
        <w:pStyle w:val="ConsPlusNormal"/>
        <w:jc w:val="both"/>
        <w:rPr>
          <w:sz w:val="28"/>
          <w:szCs w:val="28"/>
        </w:rPr>
      </w:pPr>
    </w:p>
    <w:tbl>
      <w:tblPr>
        <w:tblW w:w="153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851"/>
        <w:gridCol w:w="850"/>
        <w:gridCol w:w="992"/>
        <w:gridCol w:w="721"/>
        <w:gridCol w:w="1264"/>
        <w:gridCol w:w="1276"/>
        <w:gridCol w:w="1275"/>
        <w:gridCol w:w="1276"/>
        <w:gridCol w:w="2747"/>
      </w:tblGrid>
      <w:tr w:rsidR="005A1FF0" w:rsidRPr="00C668F6" w:rsidTr="000C66F4">
        <w:trPr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Наименование  программы, 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72090B">
              <w:rPr>
                <w:rFonts w:ascii="Times New Roman" w:hAnsi="Times New Roman"/>
                <w:sz w:val="24"/>
                <w:szCs w:val="24"/>
              </w:rPr>
              <w:br/>
              <w:t>(тыс. рублей), годы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A1FF0" w:rsidRPr="00C668F6" w:rsidTr="000C66F4">
        <w:trPr>
          <w:trHeight w:val="51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09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09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09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F0" w:rsidRPr="00C668F6" w:rsidTr="000C66F4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Цель. </w:t>
            </w:r>
          </w:p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долгом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65224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1E0A9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1E0A9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1E0A9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C668F6" w:rsidRDefault="005A1FF0" w:rsidP="005A1FF0">
            <w:pPr>
              <w:pStyle w:val="ConsPlusCel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долга на уровне, не превышающем объем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без учета объема безвозмездных поступлений;</w:t>
            </w:r>
          </w:p>
          <w:p w:rsidR="005A1FF0" w:rsidRPr="00C668F6" w:rsidRDefault="005A1FF0" w:rsidP="005A1FF0">
            <w:pPr>
              <w:pStyle w:val="ConsPlusCell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сумм, связанных с несвоевременным исполнением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долговых обязательств</w:t>
            </w:r>
          </w:p>
        </w:tc>
      </w:tr>
      <w:tr w:rsidR="005A1FF0" w:rsidRPr="00C668F6" w:rsidTr="000C66F4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lastRenderedPageBreak/>
              <w:t>Задача 1.</w:t>
            </w:r>
          </w:p>
          <w:p w:rsidR="005A1FF0" w:rsidRPr="00C668F6" w:rsidRDefault="005A1FF0" w:rsidP="000C66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объема и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Пировского района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>на экономически безопасном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A1FF0" w:rsidRPr="00C668F6" w:rsidTr="000C66F4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5A1FF0" w:rsidRPr="00C668F6" w:rsidRDefault="005A1FF0" w:rsidP="000C66F4">
            <w:pPr>
              <w:pStyle w:val="ConsPlusCel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72090B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Обеспечение покрытия дефицита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>бюджета за счет заемных средств</w:t>
            </w:r>
          </w:p>
        </w:tc>
      </w:tr>
      <w:tr w:rsidR="005A1FF0" w:rsidRPr="00C668F6" w:rsidTr="000C66F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:rsidR="005A1FF0" w:rsidRPr="00C668F6" w:rsidRDefault="005A1FF0" w:rsidP="000C66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по объему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и расходам на его обслуживание установленных федеральным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A1FF0" w:rsidRPr="00C668F6" w:rsidTr="000C66F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объема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C668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долга и расходов на его обслуживание на предмет соответствия ограничениям, установленным Бюджетным </w:t>
            </w:r>
            <w:hyperlink r:id="rId12" w:tooltip="&quot;Бюджетный кодекс Российской Федерации&quot; от 31.07.1998 N 145-ФЗ (ред. от 07.05.2013){КонсультантПлюс}" w:history="1">
              <w:r w:rsidRPr="00C668F6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C668F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C668F6" w:rsidRDefault="005A1FF0" w:rsidP="000C66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объема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долга и расходов на его обслуживание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ограничениям,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установленным Бюджетным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tooltip="&quot;Бюджетный кодекс Российской Федерации&quot; от 31.07.1998 N 145-ФЗ (ред. от 07.05.2013){КонсультантПлюс}" w:history="1">
              <w:r w:rsidRPr="00C668F6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</w:tr>
      <w:tr w:rsidR="005A1FF0" w:rsidRPr="00C668F6" w:rsidTr="000C66F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lastRenderedPageBreak/>
              <w:t>Задача 3.</w:t>
            </w:r>
          </w:p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65224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1E0A9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1E0A9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1E0A9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A1FF0" w:rsidRPr="00C668F6" w:rsidTr="000C66F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3.1</w:t>
            </w:r>
          </w:p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Планирование расходов на обслуживание государственного долга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65224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41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65224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41">
              <w:rPr>
                <w:rFonts w:ascii="Times New Roman" w:hAnsi="Times New Roman"/>
                <w:sz w:val="20"/>
                <w:szCs w:val="20"/>
              </w:rPr>
              <w:t>0130001010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9F1BE3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65224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1E0A9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1E0A9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1E0A91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5A1FF0" w:rsidRPr="00C668F6" w:rsidTr="000C66F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1FF0" w:rsidRPr="00C668F6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Соблюдение сроков исполнения долговых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FF0" w:rsidRPr="0072090B" w:rsidRDefault="005A1FF0" w:rsidP="000C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F0" w:rsidRPr="0072090B" w:rsidRDefault="005A1FF0" w:rsidP="000C66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F0" w:rsidRPr="0072090B" w:rsidRDefault="005A1FF0" w:rsidP="000C6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Своевременное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</w:tr>
    </w:tbl>
    <w:p w:rsidR="005A1FF0" w:rsidRPr="0072090B" w:rsidRDefault="005A1FF0" w:rsidP="005A1F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1FF0" w:rsidRPr="005A1FF0" w:rsidRDefault="005A1FF0" w:rsidP="005A1F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1FF0" w:rsidRDefault="005A1FF0" w:rsidP="005A1FF0">
      <w:pPr>
        <w:rPr>
          <w:rFonts w:ascii="Times New Roman" w:hAnsi="Times New Roman"/>
          <w:sz w:val="24"/>
          <w:szCs w:val="24"/>
        </w:rPr>
      </w:pPr>
    </w:p>
    <w:p w:rsidR="005A1FF0" w:rsidRPr="005A1FF0" w:rsidRDefault="005A1FF0" w:rsidP="005A1FF0">
      <w:pPr>
        <w:rPr>
          <w:rFonts w:ascii="Times New Roman" w:hAnsi="Times New Roman"/>
          <w:sz w:val="24"/>
          <w:szCs w:val="24"/>
        </w:rPr>
      </w:pPr>
    </w:p>
    <w:sectPr w:rsidR="005A1FF0" w:rsidRPr="005A1FF0" w:rsidSect="00042871">
      <w:pgSz w:w="16838" w:h="11906" w:orient="landscape"/>
      <w:pgMar w:top="1134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7C9" w:rsidRDefault="001507C9">
      <w:pPr>
        <w:spacing w:after="0" w:line="240" w:lineRule="auto"/>
      </w:pPr>
      <w:r>
        <w:separator/>
      </w:r>
    </w:p>
  </w:endnote>
  <w:endnote w:type="continuationSeparator" w:id="0">
    <w:p w:rsidR="001507C9" w:rsidRDefault="0015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1B" w:rsidRDefault="005A1FF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D5F">
      <w:rPr>
        <w:noProof/>
      </w:rPr>
      <w:t>13</w:t>
    </w:r>
    <w:r>
      <w:fldChar w:fldCharType="end"/>
    </w:r>
  </w:p>
  <w:p w:rsidR="00AA2E1B" w:rsidRDefault="001507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7C9" w:rsidRDefault="001507C9">
      <w:pPr>
        <w:spacing w:after="0" w:line="240" w:lineRule="auto"/>
      </w:pPr>
      <w:r>
        <w:separator/>
      </w:r>
    </w:p>
  </w:footnote>
  <w:footnote w:type="continuationSeparator" w:id="0">
    <w:p w:rsidR="001507C9" w:rsidRDefault="0015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1B" w:rsidRPr="005A152D" w:rsidRDefault="005A1FF0" w:rsidP="005A152D">
    <w:pPr>
      <w:pStyle w:val="a8"/>
    </w:pPr>
    <w:r w:rsidRPr="005A152D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5951"/>
    <w:multiLevelType w:val="hybridMultilevel"/>
    <w:tmpl w:val="91FC0388"/>
    <w:lvl w:ilvl="0" w:tplc="B5A02B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96AA3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E76"/>
    <w:rsid w:val="000C4F7F"/>
    <w:rsid w:val="000E125E"/>
    <w:rsid w:val="00137CDF"/>
    <w:rsid w:val="001507C9"/>
    <w:rsid w:val="00151A81"/>
    <w:rsid w:val="00166D5F"/>
    <w:rsid w:val="001F1B79"/>
    <w:rsid w:val="00251303"/>
    <w:rsid w:val="00297E0C"/>
    <w:rsid w:val="002F024E"/>
    <w:rsid w:val="003E5657"/>
    <w:rsid w:val="0047589F"/>
    <w:rsid w:val="004C52F6"/>
    <w:rsid w:val="004D0012"/>
    <w:rsid w:val="004E7AB9"/>
    <w:rsid w:val="00501712"/>
    <w:rsid w:val="005A1FF0"/>
    <w:rsid w:val="005D6038"/>
    <w:rsid w:val="005E74B1"/>
    <w:rsid w:val="00637605"/>
    <w:rsid w:val="00694186"/>
    <w:rsid w:val="006A40E0"/>
    <w:rsid w:val="006A6EC2"/>
    <w:rsid w:val="006B5373"/>
    <w:rsid w:val="006E1BD3"/>
    <w:rsid w:val="006E618F"/>
    <w:rsid w:val="006F5FE7"/>
    <w:rsid w:val="00723350"/>
    <w:rsid w:val="00744D7A"/>
    <w:rsid w:val="007715BF"/>
    <w:rsid w:val="007F152D"/>
    <w:rsid w:val="008032EB"/>
    <w:rsid w:val="00816947"/>
    <w:rsid w:val="008B5D84"/>
    <w:rsid w:val="008D1BB8"/>
    <w:rsid w:val="008D5A6B"/>
    <w:rsid w:val="008E1E32"/>
    <w:rsid w:val="0090515B"/>
    <w:rsid w:val="009443F8"/>
    <w:rsid w:val="00A701CE"/>
    <w:rsid w:val="00AC0B25"/>
    <w:rsid w:val="00AD0784"/>
    <w:rsid w:val="00AD565B"/>
    <w:rsid w:val="00B57BC9"/>
    <w:rsid w:val="00B64BAA"/>
    <w:rsid w:val="00B719A1"/>
    <w:rsid w:val="00B91C03"/>
    <w:rsid w:val="00BB334F"/>
    <w:rsid w:val="00C63BE0"/>
    <w:rsid w:val="00C86C5B"/>
    <w:rsid w:val="00C94171"/>
    <w:rsid w:val="00CD5570"/>
    <w:rsid w:val="00D224CB"/>
    <w:rsid w:val="00D442AB"/>
    <w:rsid w:val="00D55228"/>
    <w:rsid w:val="00D71E76"/>
    <w:rsid w:val="00DD33CC"/>
    <w:rsid w:val="00E164A6"/>
    <w:rsid w:val="00E769BA"/>
    <w:rsid w:val="00E94967"/>
    <w:rsid w:val="00EA3B0B"/>
    <w:rsid w:val="00EB5034"/>
    <w:rsid w:val="00F41EDD"/>
    <w:rsid w:val="00F614E8"/>
    <w:rsid w:val="00FA2978"/>
    <w:rsid w:val="00FB17D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83C0-1F55-4BBE-81BE-E9733D5F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7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297E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D55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BE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5A1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1F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A1FF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A1F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A1F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5071C100583F51A8D274FC25B472A2A0B65F9D64104D88C9F40F128v6N3D" TargetMode="External"/><Relationship Id="rId13" Type="http://schemas.openxmlformats.org/officeDocument/2006/relationships/hyperlink" Target="consultantplus://offline/ref=A695071C100583F51A8D274FC25B472A2A0B65F9D64104D88C9F40F128v6N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95071C100583F51A8D274FC25B472A2A0B65F9D64104D88C9F40F128v6N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95071C100583F51A8D274FC25B472A2A0B65F9D64104D88C9F40F128v6N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ADD0-96F2-4321-B531-B73D8A49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51</cp:revision>
  <cp:lastPrinted>2016-03-01T03:41:00Z</cp:lastPrinted>
  <dcterms:created xsi:type="dcterms:W3CDTF">2014-02-24T07:33:00Z</dcterms:created>
  <dcterms:modified xsi:type="dcterms:W3CDTF">2016-03-01T05:11:00Z</dcterms:modified>
</cp:coreProperties>
</file>