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802E8"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AB" w:rsidRPr="004533AB" w:rsidRDefault="00F73235" w:rsidP="00432B5A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 «Развитие земельно-имущественных отношений на территории Пировского района»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E68DC" w:rsidRPr="00407950" w:rsidRDefault="002E68DC" w:rsidP="002E68DC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Перечень мероприятий подпрограммы</w:t>
      </w:r>
    </w:p>
    <w:p w:rsidR="002E68DC" w:rsidRPr="00407950" w:rsidRDefault="002E68DC" w:rsidP="002E68DC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2E68DC" w:rsidRPr="00407950" w:rsidRDefault="002E68DC" w:rsidP="002E68DC">
      <w:pPr>
        <w:jc w:val="center"/>
        <w:outlineLvl w:val="0"/>
        <w:rPr>
          <w:sz w:val="28"/>
          <w:szCs w:val="28"/>
        </w:rPr>
      </w:pPr>
      <w:r w:rsidRPr="00407950">
        <w:rPr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559"/>
        <w:gridCol w:w="835"/>
        <w:gridCol w:w="765"/>
        <w:gridCol w:w="838"/>
        <w:gridCol w:w="765"/>
        <w:gridCol w:w="834"/>
        <w:gridCol w:w="851"/>
        <w:gridCol w:w="850"/>
        <w:gridCol w:w="851"/>
        <w:gridCol w:w="850"/>
        <w:gridCol w:w="850"/>
        <w:gridCol w:w="2626"/>
      </w:tblGrid>
      <w:tr w:rsidR="002E68DC" w:rsidRPr="002E68DC" w:rsidTr="002E68DC">
        <w:trPr>
          <w:trHeight w:val="675"/>
        </w:trPr>
        <w:tc>
          <w:tcPr>
            <w:tcW w:w="2269" w:type="dxa"/>
            <w:vMerge w:val="restart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 xml:space="preserve">ГРБС </w:t>
            </w:r>
          </w:p>
        </w:tc>
        <w:tc>
          <w:tcPr>
            <w:tcW w:w="3203" w:type="dxa"/>
            <w:gridSpan w:val="4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Код бюджетной классификации</w:t>
            </w:r>
          </w:p>
        </w:tc>
        <w:tc>
          <w:tcPr>
            <w:tcW w:w="5086" w:type="dxa"/>
            <w:gridSpan w:val="6"/>
          </w:tcPr>
          <w:p w:rsidR="002E68DC" w:rsidRPr="002E68DC" w:rsidRDefault="002E68DC" w:rsidP="00E56A37">
            <w:pPr>
              <w:jc w:val="center"/>
            </w:pPr>
            <w:r w:rsidRPr="002E68DC">
              <w:t xml:space="preserve">Расходы </w:t>
            </w:r>
            <w:r w:rsidRPr="002E68DC">
              <w:br/>
              <w:t>(тыс. руб.), годы</w:t>
            </w:r>
          </w:p>
        </w:tc>
        <w:tc>
          <w:tcPr>
            <w:tcW w:w="2626" w:type="dxa"/>
            <w:vMerge w:val="restart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68DC" w:rsidRPr="002E68DC" w:rsidTr="002E68DC">
        <w:trPr>
          <w:trHeight w:val="1354"/>
        </w:trPr>
        <w:tc>
          <w:tcPr>
            <w:tcW w:w="2269" w:type="dxa"/>
            <w:vMerge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835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ГРБС</w:t>
            </w:r>
          </w:p>
        </w:tc>
        <w:tc>
          <w:tcPr>
            <w:tcW w:w="765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РзПр</w:t>
            </w:r>
          </w:p>
        </w:tc>
        <w:tc>
          <w:tcPr>
            <w:tcW w:w="838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ЦСР</w:t>
            </w:r>
          </w:p>
        </w:tc>
        <w:tc>
          <w:tcPr>
            <w:tcW w:w="765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ВР</w:t>
            </w:r>
          </w:p>
        </w:tc>
        <w:tc>
          <w:tcPr>
            <w:tcW w:w="834" w:type="dxa"/>
            <w:vAlign w:val="center"/>
          </w:tcPr>
          <w:p w:rsidR="002E68DC" w:rsidRPr="002E68DC" w:rsidRDefault="002E68DC" w:rsidP="00E56A37">
            <w:pPr>
              <w:ind w:left="-124" w:right="-92"/>
              <w:jc w:val="right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2014 г</w:t>
              </w:r>
            </w:smartTag>
            <w:r w:rsidRPr="002E68DC">
              <w:t>.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ind w:left="-108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2015 г</w:t>
              </w:r>
            </w:smartTag>
            <w:r w:rsidRPr="002E68DC">
              <w:t>.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7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2016 г</w:t>
              </w:r>
            </w:smartTag>
            <w:r w:rsidRPr="002E68DC">
              <w:t>.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ind w:left="-108" w:right="-124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2017 г</w:t>
              </w:r>
            </w:smartTag>
            <w:r w:rsidRPr="002E68DC">
              <w:t>.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8" w:right="-108"/>
              <w:jc w:val="center"/>
            </w:pPr>
            <w:r w:rsidRPr="002E68DC">
              <w:t>2018 г.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8" w:right="-108"/>
              <w:jc w:val="center"/>
            </w:pPr>
            <w:r w:rsidRPr="002E68DC">
              <w:t>Итого на период</w:t>
            </w:r>
          </w:p>
        </w:tc>
        <w:tc>
          <w:tcPr>
            <w:tcW w:w="2626" w:type="dxa"/>
            <w:vMerge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</w:tr>
      <w:tr w:rsidR="002E68DC" w:rsidRPr="002E68DC" w:rsidTr="002E68DC">
        <w:trPr>
          <w:trHeight w:val="360"/>
        </w:trPr>
        <w:tc>
          <w:tcPr>
            <w:tcW w:w="14743" w:type="dxa"/>
            <w:gridSpan w:val="13"/>
          </w:tcPr>
          <w:p w:rsidR="002E68DC" w:rsidRPr="002E68DC" w:rsidRDefault="002E68DC" w:rsidP="00E56A37">
            <w:r w:rsidRPr="002E68DC"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2E68DC" w:rsidRPr="002E68DC" w:rsidTr="002E68DC">
        <w:trPr>
          <w:trHeight w:val="360"/>
        </w:trPr>
        <w:tc>
          <w:tcPr>
            <w:tcW w:w="14743" w:type="dxa"/>
            <w:gridSpan w:val="13"/>
          </w:tcPr>
          <w:p w:rsidR="002E68DC" w:rsidRPr="002E68DC" w:rsidRDefault="002E68DC" w:rsidP="00E56A37">
            <w:r w:rsidRPr="002E68DC">
              <w:t xml:space="preserve">Задача 1: Пополнение доходной части бюджета Пировского района </w:t>
            </w:r>
            <w:r w:rsidRPr="002E68DC">
              <w:rPr>
                <w:lang w:eastAsia="en-US"/>
              </w:rPr>
              <w:t>и в</w:t>
            </w:r>
            <w:r w:rsidRPr="002E68DC"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2E68DC" w:rsidRPr="002E68DC" w:rsidTr="002E68DC">
        <w:trPr>
          <w:trHeight w:val="537"/>
        </w:trPr>
        <w:tc>
          <w:tcPr>
            <w:tcW w:w="2269" w:type="dxa"/>
            <w:vMerge w:val="restart"/>
            <w:vAlign w:val="center"/>
          </w:tcPr>
          <w:p w:rsidR="002E68DC" w:rsidRPr="002E68DC" w:rsidRDefault="002E68DC" w:rsidP="00E56A37">
            <w:bookmarkStart w:id="0" w:name="_Hlk431583347"/>
            <w:r w:rsidRPr="002E68DC"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Админист-рация Пировского района</w:t>
            </w:r>
          </w:p>
        </w:tc>
        <w:tc>
          <w:tcPr>
            <w:tcW w:w="835" w:type="dxa"/>
            <w:vMerge w:val="restart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670</w:t>
            </w:r>
          </w:p>
        </w:tc>
        <w:tc>
          <w:tcPr>
            <w:tcW w:w="765" w:type="dxa"/>
            <w:vMerge w:val="restart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0113</w:t>
            </w:r>
          </w:p>
        </w:tc>
        <w:tc>
          <w:tcPr>
            <w:tcW w:w="838" w:type="dxa"/>
            <w:vMerge w:val="restart"/>
            <w:noWrap/>
            <w:vAlign w:val="center"/>
          </w:tcPr>
          <w:p w:rsidR="002E68DC" w:rsidRPr="002E68DC" w:rsidRDefault="002E68DC" w:rsidP="00E56A37">
            <w:pPr>
              <w:ind w:left="-165" w:right="-64"/>
              <w:jc w:val="center"/>
            </w:pPr>
            <w:r w:rsidRPr="002E68DC">
              <w:t>1117851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ind w:left="-109" w:right="-108"/>
              <w:jc w:val="center"/>
            </w:pPr>
            <w:r w:rsidRPr="002E68DC">
              <w:t>240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-108" w:right="-106"/>
              <w:jc w:val="center"/>
            </w:pPr>
            <w:r w:rsidRPr="002E68DC">
              <w:t>935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tabs>
                <w:tab w:val="left" w:pos="536"/>
              </w:tabs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935</w:t>
            </w:r>
          </w:p>
        </w:tc>
        <w:tc>
          <w:tcPr>
            <w:tcW w:w="2626" w:type="dxa"/>
            <w:vMerge w:val="restart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</w:tr>
      <w:tr w:rsidR="002E68DC" w:rsidRPr="002E68DC" w:rsidTr="002E68DC">
        <w:trPr>
          <w:trHeight w:val="559"/>
        </w:trPr>
        <w:tc>
          <w:tcPr>
            <w:tcW w:w="2269" w:type="dxa"/>
            <w:vMerge/>
            <w:vAlign w:val="center"/>
          </w:tcPr>
          <w:p w:rsidR="002E68DC" w:rsidRPr="002E68DC" w:rsidRDefault="002E68DC" w:rsidP="00E56A37"/>
        </w:tc>
        <w:tc>
          <w:tcPr>
            <w:tcW w:w="1559" w:type="dxa"/>
            <w:vMerge/>
          </w:tcPr>
          <w:p w:rsidR="002E68DC" w:rsidRPr="002E68DC" w:rsidRDefault="002E68DC" w:rsidP="00E56A37"/>
        </w:tc>
        <w:tc>
          <w:tcPr>
            <w:tcW w:w="835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765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838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ind w:left="-109" w:right="-108"/>
              <w:jc w:val="center"/>
            </w:pPr>
            <w:r w:rsidRPr="002E68DC">
              <w:t>244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-108" w:right="-106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467,3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tabs>
                <w:tab w:val="left" w:pos="536"/>
              </w:tabs>
              <w:jc w:val="center"/>
            </w:pPr>
            <w:r w:rsidRPr="002E68DC">
              <w:t>720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720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720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2627,3</w:t>
            </w:r>
          </w:p>
        </w:tc>
        <w:tc>
          <w:tcPr>
            <w:tcW w:w="2626" w:type="dxa"/>
            <w:vMerge/>
            <w:vAlign w:val="center"/>
          </w:tcPr>
          <w:p w:rsidR="002E68DC" w:rsidRPr="002E68DC" w:rsidRDefault="002E68DC" w:rsidP="00E56A37"/>
        </w:tc>
      </w:tr>
      <w:tr w:rsidR="002E68DC" w:rsidRPr="002E68DC" w:rsidTr="002E68DC">
        <w:trPr>
          <w:trHeight w:val="105"/>
        </w:trPr>
        <w:tc>
          <w:tcPr>
            <w:tcW w:w="2269" w:type="dxa"/>
            <w:vMerge/>
            <w:vAlign w:val="center"/>
          </w:tcPr>
          <w:p w:rsidR="002E68DC" w:rsidRPr="002E68DC" w:rsidRDefault="002E68DC" w:rsidP="00E56A37"/>
        </w:tc>
        <w:tc>
          <w:tcPr>
            <w:tcW w:w="1559" w:type="dxa"/>
            <w:vMerge/>
          </w:tcPr>
          <w:p w:rsidR="002E68DC" w:rsidRPr="002E68DC" w:rsidRDefault="002E68DC" w:rsidP="00E56A37"/>
        </w:tc>
        <w:tc>
          <w:tcPr>
            <w:tcW w:w="835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765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838" w:type="dxa"/>
            <w:vMerge/>
            <w:noWrap/>
            <w:vAlign w:val="center"/>
          </w:tcPr>
          <w:p w:rsidR="002E68DC" w:rsidRPr="002E68DC" w:rsidRDefault="002E68DC" w:rsidP="00E56A37">
            <w:pPr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ind w:left="-109" w:right="-108"/>
              <w:jc w:val="center"/>
            </w:pPr>
            <w:r w:rsidRPr="002E68DC">
              <w:t>852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ind w:left="-108" w:right="-106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5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tabs>
                <w:tab w:val="left" w:pos="536"/>
              </w:tabs>
              <w:ind w:right="-107"/>
              <w:jc w:val="center"/>
            </w:pPr>
            <w:r w:rsidRPr="002E68DC">
              <w:t>5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5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5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ind w:left="-106" w:right="-108"/>
              <w:jc w:val="center"/>
            </w:pPr>
            <w:r w:rsidRPr="002E68DC">
              <w:t>20</w:t>
            </w:r>
          </w:p>
        </w:tc>
        <w:tc>
          <w:tcPr>
            <w:tcW w:w="2626" w:type="dxa"/>
            <w:vMerge/>
            <w:vAlign w:val="center"/>
          </w:tcPr>
          <w:p w:rsidR="002E68DC" w:rsidRPr="002E68DC" w:rsidRDefault="002E68DC" w:rsidP="00E56A37"/>
        </w:tc>
      </w:tr>
      <w:tr w:rsidR="002E68DC" w:rsidRPr="002E68DC" w:rsidTr="002E68DC">
        <w:trPr>
          <w:trHeight w:val="80"/>
        </w:trPr>
        <w:tc>
          <w:tcPr>
            <w:tcW w:w="2269" w:type="dxa"/>
            <w:vAlign w:val="center"/>
          </w:tcPr>
          <w:p w:rsidR="002E68DC" w:rsidRPr="002E68DC" w:rsidRDefault="002E68DC" w:rsidP="00E56A37">
            <w:r w:rsidRPr="002E68DC">
              <w:t xml:space="preserve">Приватизация </w:t>
            </w:r>
            <w:r w:rsidRPr="002E68DC">
              <w:rPr>
                <w:spacing w:val="-2"/>
              </w:rPr>
              <w:t>муниципального имущества</w:t>
            </w:r>
          </w:p>
        </w:tc>
        <w:tc>
          <w:tcPr>
            <w:tcW w:w="1559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8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  <w:rPr>
                <w:color w:val="000000"/>
              </w:rPr>
            </w:pPr>
            <w:r w:rsidRPr="002E68DC">
              <w:rPr>
                <w:color w:val="000000"/>
              </w:rPr>
              <w:t>Х</w:t>
            </w:r>
          </w:p>
        </w:tc>
        <w:tc>
          <w:tcPr>
            <w:tcW w:w="2626" w:type="dxa"/>
            <w:vAlign w:val="center"/>
          </w:tcPr>
          <w:p w:rsidR="002E68DC" w:rsidRPr="002E68DC" w:rsidRDefault="002E68DC" w:rsidP="00E56A37">
            <w:r w:rsidRPr="002E68DC">
              <w:t>Пополнение доходной части бюджета Пировского района за период на 2800 тыс. руб.</w:t>
            </w:r>
          </w:p>
          <w:p w:rsidR="002E68DC" w:rsidRPr="002E68DC" w:rsidRDefault="002E68DC" w:rsidP="00E56A37">
            <w:pPr>
              <w:rPr>
                <w:highlight w:val="yellow"/>
              </w:rPr>
            </w:pPr>
            <w:r w:rsidRPr="002E68DC">
              <w:t>Инвентаризация, учет и регистрация 121 объекта</w:t>
            </w:r>
          </w:p>
        </w:tc>
      </w:tr>
      <w:tr w:rsidR="002E68DC" w:rsidRPr="002E68DC" w:rsidTr="002E68DC">
        <w:trPr>
          <w:trHeight w:val="360"/>
        </w:trPr>
        <w:tc>
          <w:tcPr>
            <w:tcW w:w="2269" w:type="dxa"/>
            <w:vAlign w:val="center"/>
          </w:tcPr>
          <w:p w:rsidR="002E68DC" w:rsidRPr="002E68DC" w:rsidRDefault="002E68DC" w:rsidP="00E56A37">
            <w:r w:rsidRPr="002E68DC">
              <w:t>Ведение претензионно-исковой работы</w:t>
            </w:r>
          </w:p>
        </w:tc>
        <w:tc>
          <w:tcPr>
            <w:tcW w:w="1559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8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2E68DC" w:rsidRPr="002E68DC" w:rsidRDefault="002E68DC" w:rsidP="00E56A37">
            <w:pPr>
              <w:rPr>
                <w:highlight w:val="yellow"/>
              </w:rPr>
            </w:pPr>
            <w:r w:rsidRPr="002E68DC">
              <w:t>Взыскание задолженности и пени по арендной плате</w:t>
            </w:r>
          </w:p>
        </w:tc>
      </w:tr>
      <w:tr w:rsidR="002E68DC" w:rsidRPr="002E68DC" w:rsidTr="002E68DC">
        <w:trPr>
          <w:trHeight w:val="360"/>
        </w:trPr>
        <w:tc>
          <w:tcPr>
            <w:tcW w:w="2269" w:type="dxa"/>
            <w:vAlign w:val="center"/>
          </w:tcPr>
          <w:p w:rsidR="002E68DC" w:rsidRPr="002E68DC" w:rsidRDefault="002E68DC" w:rsidP="00E56A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68D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Расчет </w:t>
            </w:r>
            <w:r w:rsidRPr="002E68D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экономически обоснованных величин</w:t>
            </w:r>
          </w:p>
          <w:p w:rsidR="002E68DC" w:rsidRPr="002E68DC" w:rsidRDefault="002E68DC" w:rsidP="00E56A37">
            <w:r w:rsidRPr="002E68DC"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559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lastRenderedPageBreak/>
              <w:t>Х</w:t>
            </w:r>
          </w:p>
        </w:tc>
        <w:tc>
          <w:tcPr>
            <w:tcW w:w="83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8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2E68DC" w:rsidRPr="002E68DC" w:rsidRDefault="002E68DC" w:rsidP="002E68DC">
            <w:pPr>
              <w:rPr>
                <w:highlight w:val="yellow"/>
              </w:rPr>
            </w:pPr>
            <w:r w:rsidRPr="002E68DC">
              <w:t xml:space="preserve">Возможность </w:t>
            </w:r>
            <w:r w:rsidRPr="002E68DC">
              <w:lastRenderedPageBreak/>
              <w:t>установления арендной платы за земельные участки. Пополнение доходной части бюджета Пировского района за период на 1652 тыс. руб</w:t>
            </w:r>
          </w:p>
        </w:tc>
      </w:tr>
      <w:tr w:rsidR="002E68DC" w:rsidRPr="002E68DC" w:rsidTr="002E68DC">
        <w:trPr>
          <w:trHeight w:val="80"/>
        </w:trPr>
        <w:tc>
          <w:tcPr>
            <w:tcW w:w="2269" w:type="dxa"/>
            <w:vAlign w:val="center"/>
          </w:tcPr>
          <w:p w:rsidR="002E68DC" w:rsidRPr="002E68DC" w:rsidRDefault="002E68DC" w:rsidP="00E56A37">
            <w:r w:rsidRPr="002E68DC">
              <w:lastRenderedPageBreak/>
              <w:t xml:space="preserve">Привлечение в муниципальную </w:t>
            </w:r>
            <w:r w:rsidRPr="002E68DC">
              <w:rPr>
                <w:spacing w:val="-2"/>
              </w:rPr>
              <w:t xml:space="preserve">собственность бесхозяйного </w:t>
            </w:r>
            <w:r w:rsidRPr="002E68DC">
              <w:t>имущества</w:t>
            </w:r>
          </w:p>
        </w:tc>
        <w:tc>
          <w:tcPr>
            <w:tcW w:w="1559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8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2E68DC" w:rsidRPr="002E68DC" w:rsidRDefault="002E68DC" w:rsidP="00E56A37">
            <w:r w:rsidRPr="002E68DC">
              <w:t>Регистрация в муниципальную собственность 14 бесхозяйных объектов</w:t>
            </w:r>
          </w:p>
        </w:tc>
      </w:tr>
      <w:tr w:rsidR="002E68DC" w:rsidRPr="002E68DC" w:rsidTr="002E68DC">
        <w:trPr>
          <w:trHeight w:val="300"/>
        </w:trPr>
        <w:tc>
          <w:tcPr>
            <w:tcW w:w="2269" w:type="dxa"/>
            <w:vAlign w:val="center"/>
          </w:tcPr>
          <w:p w:rsidR="002E68DC" w:rsidRPr="002E68DC" w:rsidRDefault="002E68DC" w:rsidP="00E56A37">
            <w:r w:rsidRPr="002E68DC"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559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8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2E68DC" w:rsidRPr="002E68DC" w:rsidRDefault="002E68DC" w:rsidP="00E56A37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2E68DC" w:rsidRPr="002E68DC" w:rsidRDefault="002E68DC" w:rsidP="00E56A37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2E68DC" w:rsidRPr="002E68DC" w:rsidRDefault="002E68DC" w:rsidP="002E68DC">
            <w:r w:rsidRPr="002E68DC">
              <w:t>Проведение кадастрового учета в отношении 160 земельных участков</w:t>
            </w:r>
          </w:p>
        </w:tc>
      </w:tr>
      <w:bookmarkEnd w:id="0"/>
    </w:tbl>
    <w:p w:rsidR="002E68DC" w:rsidRPr="00906859" w:rsidRDefault="002E68DC" w:rsidP="002E6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68DC" w:rsidRPr="00906859" w:rsidRDefault="002E68DC" w:rsidP="002E6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68DC" w:rsidRDefault="002E68DC" w:rsidP="002E68DC">
      <w:pPr>
        <w:ind w:left="2268"/>
        <w:rPr>
          <w:sz w:val="28"/>
          <w:szCs w:val="28"/>
        </w:rPr>
      </w:pPr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p w:rsidR="00F73235" w:rsidRDefault="00F73235" w:rsidP="002E68DC">
      <w:pPr>
        <w:widowControl w:val="0"/>
        <w:autoSpaceDE w:val="0"/>
        <w:autoSpaceDN w:val="0"/>
        <w:adjustRightInd w:val="0"/>
        <w:ind w:right="-144"/>
        <w:jc w:val="center"/>
        <w:outlineLvl w:val="1"/>
      </w:pP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6F" w:rsidRDefault="004E186F" w:rsidP="007832B0">
      <w:r>
        <w:separator/>
      </w:r>
    </w:p>
  </w:endnote>
  <w:endnote w:type="continuationSeparator" w:id="1">
    <w:p w:rsidR="004E186F" w:rsidRDefault="004E186F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6F" w:rsidRDefault="004E186F" w:rsidP="007832B0">
      <w:r>
        <w:separator/>
      </w:r>
    </w:p>
  </w:footnote>
  <w:footnote w:type="continuationSeparator" w:id="1">
    <w:p w:rsidR="004E186F" w:rsidRDefault="004E186F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1E26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76010"/>
    <w:rsid w:val="00184EB3"/>
    <w:rsid w:val="00185872"/>
    <w:rsid w:val="0019285F"/>
    <w:rsid w:val="001A7BE8"/>
    <w:rsid w:val="001C5764"/>
    <w:rsid w:val="001D48A1"/>
    <w:rsid w:val="001E0D4D"/>
    <w:rsid w:val="001E6254"/>
    <w:rsid w:val="00200397"/>
    <w:rsid w:val="002070DB"/>
    <w:rsid w:val="00207F0F"/>
    <w:rsid w:val="0021227C"/>
    <w:rsid w:val="0022253E"/>
    <w:rsid w:val="00237ABD"/>
    <w:rsid w:val="00244313"/>
    <w:rsid w:val="00251760"/>
    <w:rsid w:val="002565FB"/>
    <w:rsid w:val="00260485"/>
    <w:rsid w:val="0027124D"/>
    <w:rsid w:val="00273B65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2E68DC"/>
    <w:rsid w:val="00315A34"/>
    <w:rsid w:val="00317FD7"/>
    <w:rsid w:val="00335CA7"/>
    <w:rsid w:val="00340D3F"/>
    <w:rsid w:val="00342CC5"/>
    <w:rsid w:val="0036034F"/>
    <w:rsid w:val="00362C22"/>
    <w:rsid w:val="003917AB"/>
    <w:rsid w:val="003A1C94"/>
    <w:rsid w:val="003A7217"/>
    <w:rsid w:val="003D1E42"/>
    <w:rsid w:val="003D4F26"/>
    <w:rsid w:val="003D5448"/>
    <w:rsid w:val="003D746D"/>
    <w:rsid w:val="00400BBB"/>
    <w:rsid w:val="00401BC8"/>
    <w:rsid w:val="004062B0"/>
    <w:rsid w:val="00412EE9"/>
    <w:rsid w:val="00417CBE"/>
    <w:rsid w:val="00424FAF"/>
    <w:rsid w:val="00431ADC"/>
    <w:rsid w:val="00432B5A"/>
    <w:rsid w:val="00440C1C"/>
    <w:rsid w:val="00446208"/>
    <w:rsid w:val="004533AB"/>
    <w:rsid w:val="00462BFD"/>
    <w:rsid w:val="004B3366"/>
    <w:rsid w:val="004E186F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57A"/>
    <w:rsid w:val="00610F83"/>
    <w:rsid w:val="00620A69"/>
    <w:rsid w:val="00624BB1"/>
    <w:rsid w:val="0062619F"/>
    <w:rsid w:val="00634A6B"/>
    <w:rsid w:val="00636EA4"/>
    <w:rsid w:val="0064417C"/>
    <w:rsid w:val="0064528C"/>
    <w:rsid w:val="00674CE4"/>
    <w:rsid w:val="006A7645"/>
    <w:rsid w:val="006B51A8"/>
    <w:rsid w:val="006C3775"/>
    <w:rsid w:val="006C6E09"/>
    <w:rsid w:val="006D0F23"/>
    <w:rsid w:val="006D3FFB"/>
    <w:rsid w:val="006E6155"/>
    <w:rsid w:val="007129C1"/>
    <w:rsid w:val="00734A51"/>
    <w:rsid w:val="0074202B"/>
    <w:rsid w:val="00762A06"/>
    <w:rsid w:val="0077640E"/>
    <w:rsid w:val="0077680D"/>
    <w:rsid w:val="007832B0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A7609"/>
    <w:rsid w:val="008B42DA"/>
    <w:rsid w:val="008C6836"/>
    <w:rsid w:val="008D5ED9"/>
    <w:rsid w:val="00901C68"/>
    <w:rsid w:val="00901CE2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2EAF"/>
    <w:rsid w:val="00AB3DE7"/>
    <w:rsid w:val="00AB3E11"/>
    <w:rsid w:val="00AB56C7"/>
    <w:rsid w:val="00AB6ACA"/>
    <w:rsid w:val="00AE17F2"/>
    <w:rsid w:val="00AE69D5"/>
    <w:rsid w:val="00AF2548"/>
    <w:rsid w:val="00AF374F"/>
    <w:rsid w:val="00B219B4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D45CC"/>
    <w:rsid w:val="00BE5FF3"/>
    <w:rsid w:val="00BF7DD6"/>
    <w:rsid w:val="00C246AC"/>
    <w:rsid w:val="00C44102"/>
    <w:rsid w:val="00C6365A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25487"/>
    <w:rsid w:val="00D3552A"/>
    <w:rsid w:val="00D51A16"/>
    <w:rsid w:val="00D55F7C"/>
    <w:rsid w:val="00DB4312"/>
    <w:rsid w:val="00DB59E1"/>
    <w:rsid w:val="00DC6FEE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B4431"/>
    <w:rsid w:val="00EC0182"/>
    <w:rsid w:val="00ED0570"/>
    <w:rsid w:val="00EE781C"/>
    <w:rsid w:val="00EF158B"/>
    <w:rsid w:val="00EF5379"/>
    <w:rsid w:val="00F220DE"/>
    <w:rsid w:val="00F44A33"/>
    <w:rsid w:val="00F6025E"/>
    <w:rsid w:val="00F73235"/>
    <w:rsid w:val="00F802E8"/>
    <w:rsid w:val="00F858CA"/>
    <w:rsid w:val="00F9412D"/>
    <w:rsid w:val="00FA3BD3"/>
    <w:rsid w:val="00FD4CE6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customStyle="1" w:styleId="7">
    <w:name w:val="Основной текст (7)_"/>
    <w:link w:val="70"/>
    <w:uiPriority w:val="99"/>
    <w:locked/>
    <w:rsid w:val="00BD45CC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45C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</cp:revision>
  <cp:lastPrinted>2014-11-06T09:00:00Z</cp:lastPrinted>
  <dcterms:created xsi:type="dcterms:W3CDTF">2015-10-03T12:33:00Z</dcterms:created>
  <dcterms:modified xsi:type="dcterms:W3CDTF">2015-10-03T12:33:00Z</dcterms:modified>
</cp:coreProperties>
</file>