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9C" w:rsidRPr="00E945E6" w:rsidRDefault="00882A9C" w:rsidP="00A3297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945E6">
        <w:rPr>
          <w:rFonts w:ascii="Times New Roman" w:hAnsi="Times New Roman" w:cs="Times New Roman"/>
          <w:b/>
          <w:bCs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A9C" w:rsidRPr="003658ED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58E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82A9C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5E6" w:rsidRPr="00E945E6" w:rsidRDefault="00E945E6" w:rsidP="00E945E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945E6">
        <w:rPr>
          <w:rFonts w:ascii="Times New Roman" w:hAnsi="Times New Roman" w:cs="Times New Roman"/>
          <w:bCs/>
          <w:sz w:val="28"/>
          <w:szCs w:val="28"/>
        </w:rPr>
        <w:t xml:space="preserve">25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марта 2014 года                       </w:t>
      </w:r>
      <w:r w:rsidR="00A3297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90EC5">
        <w:rPr>
          <w:rFonts w:ascii="Times New Roman" w:hAnsi="Times New Roman" w:cs="Times New Roman"/>
          <w:bCs/>
          <w:sz w:val="28"/>
          <w:szCs w:val="28"/>
        </w:rPr>
        <w:t>№ 149-п</w:t>
      </w:r>
    </w:p>
    <w:p w:rsidR="00E945E6" w:rsidRPr="00E945E6" w:rsidRDefault="00E945E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2A9C" w:rsidRPr="00E945E6" w:rsidRDefault="00882A9C" w:rsidP="00E945E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5E6">
        <w:rPr>
          <w:rFonts w:ascii="Times New Roman" w:hAnsi="Times New Roman" w:cs="Times New Roman"/>
          <w:bCs/>
          <w:sz w:val="28"/>
          <w:szCs w:val="28"/>
        </w:rPr>
        <w:t>О</w:t>
      </w:r>
      <w:r w:rsidR="00E945E6">
        <w:rPr>
          <w:rFonts w:ascii="Times New Roman" w:hAnsi="Times New Roman" w:cs="Times New Roman"/>
          <w:bCs/>
          <w:sz w:val="28"/>
          <w:szCs w:val="28"/>
        </w:rPr>
        <w:t>б утверждении порядка конкурсного распределения принимаемых расходных обязательств Пировского района согласно эффективности планируемых мероприятий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статьей 174.2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результативности расходования средств районного бюджета </w:t>
      </w:r>
      <w:r w:rsidR="003658ED">
        <w:rPr>
          <w:rFonts w:ascii="Times New Roman" w:hAnsi="Times New Roman" w:cs="Times New Roman"/>
          <w:sz w:val="28"/>
          <w:szCs w:val="28"/>
        </w:rPr>
        <w:t>ПОСТАНОВЛЯЮ</w:t>
      </w:r>
      <w:r w:rsidRPr="00E945E6">
        <w:rPr>
          <w:rFonts w:ascii="Times New Roman" w:hAnsi="Times New Roman" w:cs="Times New Roman"/>
          <w:sz w:val="28"/>
          <w:szCs w:val="28"/>
        </w:rPr>
        <w:t>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конкурсного распределения принимаемых расходных обязательств </w:t>
      </w:r>
      <w:r w:rsidR="00BD7BED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согласно эффективности планируемых мероприятий.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BD7BED">
        <w:rPr>
          <w:rFonts w:ascii="Times New Roman" w:hAnsi="Times New Roman" w:cs="Times New Roman"/>
          <w:sz w:val="28"/>
          <w:szCs w:val="28"/>
        </w:rPr>
        <w:t>и.о.</w:t>
      </w:r>
      <w:r w:rsidR="00827601">
        <w:rPr>
          <w:rFonts w:ascii="Times New Roman" w:hAnsi="Times New Roman" w:cs="Times New Roman"/>
          <w:sz w:val="28"/>
          <w:szCs w:val="28"/>
        </w:rPr>
        <w:t>руководителя</w:t>
      </w:r>
      <w:r w:rsidRPr="00E945E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0C72E1">
        <w:rPr>
          <w:rFonts w:ascii="Times New Roman" w:hAnsi="Times New Roman" w:cs="Times New Roman"/>
          <w:sz w:val="28"/>
          <w:szCs w:val="28"/>
        </w:rPr>
        <w:t>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 w:rsidR="00BD7BED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7BED">
        <w:rPr>
          <w:rFonts w:ascii="Times New Roman" w:hAnsi="Times New Roman" w:cs="Times New Roman"/>
          <w:sz w:val="28"/>
          <w:szCs w:val="28"/>
        </w:rPr>
        <w:t>Л.А.Калашникову</w:t>
      </w:r>
      <w:r w:rsidRPr="00E945E6">
        <w:rPr>
          <w:rFonts w:ascii="Times New Roman" w:hAnsi="Times New Roman" w:cs="Times New Roman"/>
          <w:sz w:val="28"/>
          <w:szCs w:val="28"/>
        </w:rPr>
        <w:t>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BD7BED" w:rsidP="00BD7B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82A9C" w:rsidRPr="00E945E6" w:rsidRDefault="00882A9C" w:rsidP="00A32974">
      <w:pPr>
        <w:pStyle w:val="ConsPlusNormal"/>
        <w:ind w:left="993" w:hanging="993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BED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7BED">
        <w:rPr>
          <w:rFonts w:ascii="Times New Roman" w:hAnsi="Times New Roman" w:cs="Times New Roman"/>
          <w:sz w:val="28"/>
          <w:szCs w:val="28"/>
        </w:rPr>
        <w:t xml:space="preserve">  </w:t>
      </w:r>
      <w:r w:rsidR="00A329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7BED">
        <w:rPr>
          <w:rFonts w:ascii="Times New Roman" w:hAnsi="Times New Roman" w:cs="Times New Roman"/>
          <w:sz w:val="28"/>
          <w:szCs w:val="28"/>
        </w:rPr>
        <w:t>Г.И.Костыгина</w:t>
      </w:r>
    </w:p>
    <w:p w:rsidR="00882A9C" w:rsidRPr="00E945E6" w:rsidRDefault="00882A9C" w:rsidP="00BD7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7BED" w:rsidRDefault="00BD7B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974" w:rsidRPr="00A32974" w:rsidRDefault="00A329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974" w:rsidRPr="00A90EC5" w:rsidRDefault="00A329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BED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A9C" w:rsidRPr="00E945E6" w:rsidRDefault="00BD7BED" w:rsidP="00BD7B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82A9C" w:rsidRPr="00E945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82A9C" w:rsidRPr="00E945E6">
        <w:rPr>
          <w:rFonts w:ascii="Times New Roman" w:hAnsi="Times New Roman" w:cs="Times New Roman"/>
          <w:sz w:val="28"/>
          <w:szCs w:val="28"/>
        </w:rPr>
        <w:t xml:space="preserve"> </w:t>
      </w:r>
      <w:r w:rsidR="003658ED">
        <w:rPr>
          <w:rFonts w:ascii="Times New Roman" w:hAnsi="Times New Roman" w:cs="Times New Roman"/>
          <w:sz w:val="28"/>
          <w:szCs w:val="28"/>
        </w:rPr>
        <w:t>марта</w:t>
      </w:r>
      <w:r w:rsidR="00882A9C" w:rsidRPr="00E945E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2A9C" w:rsidRPr="00E945E6">
        <w:rPr>
          <w:rFonts w:ascii="Times New Roman" w:hAnsi="Times New Roman" w:cs="Times New Roman"/>
          <w:sz w:val="28"/>
          <w:szCs w:val="28"/>
        </w:rPr>
        <w:t xml:space="preserve"> г. </w:t>
      </w:r>
      <w:r w:rsidR="003658ED">
        <w:rPr>
          <w:rFonts w:ascii="Times New Roman" w:hAnsi="Times New Roman" w:cs="Times New Roman"/>
          <w:sz w:val="28"/>
          <w:szCs w:val="28"/>
        </w:rPr>
        <w:t>№</w:t>
      </w:r>
      <w:r w:rsidR="00A90EC5">
        <w:rPr>
          <w:rFonts w:ascii="Times New Roman" w:hAnsi="Times New Roman" w:cs="Times New Roman"/>
          <w:sz w:val="28"/>
          <w:szCs w:val="28"/>
        </w:rPr>
        <w:t>149-п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E945E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>КОНКУРСНОГО РАСПРЕДЕЛЕНИЯ ПРИНИМАЕМЫХ РАСХОДНЫХ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 </w:t>
      </w:r>
      <w:r w:rsidR="00BD7BED">
        <w:rPr>
          <w:rFonts w:ascii="Times New Roman" w:hAnsi="Times New Roman" w:cs="Times New Roman"/>
          <w:b/>
          <w:bCs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СОГЛАСНО ЭФФЕКТИВНОСТИ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>ПЛАНИРУЕМЫХ МЕРОПРИЯТИЙ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конкурсного распределения бюджетных ассигнований на принимаемые расходные обязательства </w:t>
      </w:r>
      <w:r w:rsidR="00BD7BED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E945E6">
        <w:rPr>
          <w:rFonts w:ascii="Times New Roman" w:hAnsi="Times New Roman" w:cs="Times New Roman"/>
          <w:sz w:val="28"/>
          <w:szCs w:val="28"/>
        </w:rPr>
        <w:t>района (далее - Порядок) в соответствии с эффективностью планируемых мероприятий на этапе подготовки проекта районного бюджета на очередной финансовый год и плановый период.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2. Проведение конкурсного распределения принимаемых расходных обязательств </w:t>
      </w:r>
      <w:r w:rsidR="00BD7BED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в соответствии с эффективностью планируемых мероприятий (далее - конкурсное распределение) осуществляется финансов</w:t>
      </w:r>
      <w:r w:rsidR="000C72E1">
        <w:rPr>
          <w:rFonts w:ascii="Times New Roman" w:hAnsi="Times New Roman" w:cs="Times New Roman"/>
          <w:sz w:val="28"/>
          <w:szCs w:val="28"/>
        </w:rPr>
        <w:t>ым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управлением администрации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3. Конкурсное распределение принимаемых расходных обязательств районного бюджета осуществляется при наличии бюджетных ресурсов на реализацию вновь принимаемых обязательств.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E945E6">
        <w:rPr>
          <w:rFonts w:ascii="Times New Roman" w:hAnsi="Times New Roman" w:cs="Times New Roman"/>
          <w:sz w:val="28"/>
          <w:szCs w:val="28"/>
        </w:rPr>
        <w:t>4. Главные распорядители средств районного бюджета (далее - ГРБС) направляют в финансово</w:t>
      </w:r>
      <w:r w:rsidR="000C72E1">
        <w:rPr>
          <w:rFonts w:ascii="Times New Roman" w:hAnsi="Times New Roman" w:cs="Times New Roman"/>
          <w:sz w:val="28"/>
          <w:szCs w:val="28"/>
        </w:rPr>
        <w:t>е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предложения по принятию новых (изменению действующих)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(далее - предложения ГРБС) в сроки, предусмотренные графиком составления проекта районного бюджета на очередной финансовый год и плановый период, содержащие документы и сведения, указанные в </w:t>
      </w:r>
      <w:hyperlink w:anchor="Par43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5. В ходе конкурсного распределения предложений ГРБС оценивается эффективность планируемых мероприятий, при этом предложения ГРБС разделяются на: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1) мероприятия, требующие выделения бюджетных ассигнований только в очередном финансовом году, в том числе: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- приводящие к сокращению действующих обязательств последующих лет планового периода (реорганизация подведомственных муниципальных бюджетных учреждений, сокращение штата работников и т.д.);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- не включаемые в состав действующих обязательств последующих лет планового периода (реализация краткосрочных, не выходящих за пределы очередного финансового года проектов, единовременные, разовые выплаты, мероприятия и т.д.);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2) мероприятия, включаемые в состав действующих обязательств и (или) приводящие к увеличению объема действующих обязательств последующих </w:t>
      </w:r>
      <w:r w:rsidRPr="00E945E6">
        <w:rPr>
          <w:rFonts w:ascii="Times New Roman" w:hAnsi="Times New Roman" w:cs="Times New Roman"/>
          <w:sz w:val="28"/>
          <w:szCs w:val="28"/>
        </w:rPr>
        <w:lastRenderedPageBreak/>
        <w:t>лет планового периода, в том числе: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- увеличение действующих или введение новых видов публичных нормативных обязательств, создание новых муниципальных бюджетных учреждений, принятие новых (изменение действующих) </w:t>
      </w:r>
      <w:r w:rsidR="000C72E1">
        <w:rPr>
          <w:rFonts w:ascii="Times New Roman" w:hAnsi="Times New Roman" w:cs="Times New Roman"/>
          <w:sz w:val="28"/>
          <w:szCs w:val="28"/>
        </w:rPr>
        <w:t>муниципальных</w:t>
      </w:r>
      <w:r w:rsidRPr="00E945E6">
        <w:rPr>
          <w:rFonts w:ascii="Times New Roman" w:hAnsi="Times New Roman" w:cs="Times New Roman"/>
          <w:sz w:val="28"/>
          <w:szCs w:val="28"/>
        </w:rPr>
        <w:t xml:space="preserve"> программ, муниципальных правовых актов, устанавливающих новые расходные обязательства, и т.д.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E945E6">
        <w:rPr>
          <w:rFonts w:ascii="Times New Roman" w:hAnsi="Times New Roman" w:cs="Times New Roman"/>
          <w:sz w:val="28"/>
          <w:szCs w:val="28"/>
        </w:rPr>
        <w:t>6. Предложение ГРБС для участия в конкурсном распределении должно содержать следующие документы и сведения: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1) нормативный правовой акт (проект нормативного правового акта), устанавливающий новое (изменяющий действующее) расходное обязательство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2) информацию, представленную по форме согласно </w:t>
      </w:r>
      <w:hyperlink w:anchor="Par75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к настоящему Порядку и содержащую: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показатели эффективности планируемых мероприятий, включая показатели экономической и социальной эффективности;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контингент и численность потребителей, которые смогут воспользоваться результатами планируемых мероприятий;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объем средств районного бюджета, необходимых для реализации каждого мероприятия в очередном финансовом году и плановом периоде, а также расчеты и обоснования указанных объемов;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показатели (количественные и качественные), которые планируется достичь в ходе реализации планируемых мероприятий.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7. Предложения ГРБС, представленные с нарушением положений </w:t>
      </w:r>
      <w:hyperlink w:anchor="Par36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пунктов 4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настоящего Порядка, не подлежат рассмотрению.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E945E6">
        <w:rPr>
          <w:rFonts w:ascii="Times New Roman" w:hAnsi="Times New Roman" w:cs="Times New Roman"/>
          <w:sz w:val="28"/>
          <w:szCs w:val="28"/>
        </w:rPr>
        <w:t>8. Финансово</w:t>
      </w:r>
      <w:r w:rsidR="000C72E1">
        <w:rPr>
          <w:rFonts w:ascii="Times New Roman" w:hAnsi="Times New Roman" w:cs="Times New Roman"/>
          <w:sz w:val="28"/>
          <w:szCs w:val="28"/>
        </w:rPr>
        <w:t>е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r w:rsidR="000C72E1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составляет сводный перечень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hyperlink w:anchor="Par125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 и составляет рейтинг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в порядке убывания значений указанной оценки (далее - рейтинг);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проводит проверку представленных расчетов объемов бюджетных ассигнований, необходимых для исполнения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готовит предложения по включению бюджетных ассигнований на исполнение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исходя из оценки их эффективности и рейтинга.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9. Материалы, содержащие информацию, указанную в </w:t>
      </w:r>
      <w:hyperlink w:anchor="Par51" w:tooltip="Ссылка на текущий документ" w:history="1">
        <w:r w:rsidRPr="00E945E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E945E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финансов</w:t>
      </w:r>
      <w:r w:rsidR="000C72E1">
        <w:rPr>
          <w:rFonts w:ascii="Times New Roman" w:hAnsi="Times New Roman" w:cs="Times New Roman"/>
          <w:sz w:val="28"/>
          <w:szCs w:val="28"/>
        </w:rPr>
        <w:t>ым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управлением администрации </w:t>
      </w:r>
      <w:r w:rsidR="000C72E1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E945E6">
        <w:rPr>
          <w:rFonts w:ascii="Times New Roman" w:hAnsi="Times New Roman" w:cs="Times New Roman"/>
          <w:sz w:val="28"/>
          <w:szCs w:val="28"/>
        </w:rPr>
        <w:t>района на рассмотрение в комиссию, созданную в соответствии с порядком разработки проекта районного бюджета на очередной финансовый год и плановый период.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10. Комиссия рассматривает материалы в сроки, предусмотренные графиком разработки районного бюджета, и готовит предложения о </w:t>
      </w:r>
      <w:r w:rsidRPr="00E945E6">
        <w:rPr>
          <w:rFonts w:ascii="Times New Roman" w:hAnsi="Times New Roman" w:cs="Times New Roman"/>
          <w:sz w:val="28"/>
          <w:szCs w:val="28"/>
        </w:rPr>
        <w:lastRenderedPageBreak/>
        <w:t xml:space="preserve">включении (невключении) бюджетных ассигнований на исполнение предлагаемых к принятию расходных обязательств </w:t>
      </w:r>
      <w:r w:rsidR="000C72E1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в проект решения о районном бюджете на очередной финансовый год и плановый период.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Финансов</w:t>
      </w:r>
      <w:r w:rsidR="000C72E1">
        <w:rPr>
          <w:rFonts w:ascii="Times New Roman" w:hAnsi="Times New Roman" w:cs="Times New Roman"/>
          <w:sz w:val="28"/>
          <w:szCs w:val="28"/>
        </w:rPr>
        <w:t>о</w:t>
      </w:r>
      <w:r w:rsidRPr="00E945E6">
        <w:rPr>
          <w:rFonts w:ascii="Times New Roman" w:hAnsi="Times New Roman" w:cs="Times New Roman"/>
          <w:sz w:val="28"/>
          <w:szCs w:val="28"/>
        </w:rPr>
        <w:t xml:space="preserve">е управление администрации </w:t>
      </w:r>
      <w:r w:rsidR="000C72E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 готовит проект решения о районном бюджете на очередной финансовый год и плановый период с учетом предложений комиссии.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0C72E1" w:rsidP="000C72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27601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882A9C" w:rsidRPr="00E945E6" w:rsidRDefault="00882A9C" w:rsidP="000C72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финансового</w:t>
      </w:r>
    </w:p>
    <w:p w:rsidR="00882A9C" w:rsidRPr="00E945E6" w:rsidRDefault="00882A9C" w:rsidP="000C72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управления администрации района</w:t>
      </w:r>
      <w:r w:rsidR="00A329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72E1">
        <w:rPr>
          <w:rFonts w:ascii="Times New Roman" w:hAnsi="Times New Roman" w:cs="Times New Roman"/>
          <w:sz w:val="28"/>
          <w:szCs w:val="28"/>
        </w:rPr>
        <w:t>Л.А.Калашникова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82A9C" w:rsidRPr="00E945E6" w:rsidSect="00A32974">
          <w:pgSz w:w="11906" w:h="16838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:rsidR="000C72E1" w:rsidRPr="00E945E6" w:rsidRDefault="000C72E1" w:rsidP="000C72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8ED">
        <w:rPr>
          <w:rFonts w:ascii="Times New Roman" w:hAnsi="Times New Roman" w:cs="Times New Roman"/>
          <w:sz w:val="28"/>
          <w:szCs w:val="28"/>
        </w:rPr>
        <w:t>№</w:t>
      </w:r>
      <w:r w:rsidRPr="00E945E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C72E1" w:rsidRPr="00E945E6" w:rsidRDefault="000C72E1" w:rsidP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 Порядку</w:t>
      </w:r>
    </w:p>
    <w:p w:rsidR="000C72E1" w:rsidRPr="00E945E6" w:rsidRDefault="000C72E1" w:rsidP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конкурсного распределения</w:t>
      </w:r>
    </w:p>
    <w:p w:rsidR="000C72E1" w:rsidRPr="00E945E6" w:rsidRDefault="000C72E1" w:rsidP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принимаемых расходных</w:t>
      </w:r>
    </w:p>
    <w:p w:rsidR="000C72E1" w:rsidRPr="00E945E6" w:rsidRDefault="000C72E1" w:rsidP="000C7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2E1" w:rsidRDefault="00882A9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E945E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72E1" w:rsidRDefault="000C72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72E1" w:rsidRDefault="000C72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 w:rsidP="00882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Предложения по принятию новых (изменению действующих)</w:t>
      </w:r>
    </w:p>
    <w:p w:rsidR="00882A9C" w:rsidRPr="00E945E6" w:rsidRDefault="00882A9C" w:rsidP="00882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A9C" w:rsidRPr="00E945E6" w:rsidRDefault="00882A9C" w:rsidP="00882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на ____ год и плановый период ______________ годов</w:t>
      </w:r>
    </w:p>
    <w:p w:rsidR="00882A9C" w:rsidRPr="00E945E6" w:rsidRDefault="00882A9C" w:rsidP="00882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2A9C" w:rsidRPr="00E945E6" w:rsidRDefault="00882A9C" w:rsidP="00882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районного бюджета)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650"/>
        <w:gridCol w:w="1650"/>
        <w:gridCol w:w="1540"/>
        <w:gridCol w:w="1430"/>
        <w:gridCol w:w="1320"/>
        <w:gridCol w:w="1210"/>
        <w:gridCol w:w="1210"/>
        <w:gridCol w:w="1430"/>
        <w:gridCol w:w="1540"/>
        <w:gridCol w:w="1430"/>
      </w:tblGrid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расходного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планируемых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Контингент граждан,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которые смогут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воспользоваться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результатами планируемых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Сумма расходов по годам на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реализацию каждого мероприятия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(дополнительно к сумме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расходов на реализацию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действующего расходного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района), тыс. рублей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суммы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(количественные 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качественные), которые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планируется достичь в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ходе реализации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планируемых мероприятий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потребителей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очередной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финансовый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планируемое</w:t>
            </w:r>
          </w:p>
          <w:p w:rsidR="00882A9C" w:rsidRPr="00E945E6" w:rsidRDefault="00882A9C" w:rsidP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3      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4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5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6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7    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8 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9      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1441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Мероприятия, требующие выделения бюджетных ассигнований в очередном финансовом году                                 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1441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Мероприятия, включаемые в состав действующих обязательств и (или) приводящие к увеличению объема действующих    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 последующих лет планового периода                                                                      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Руководитель главного распорядителя</w:t>
      </w:r>
    </w:p>
    <w:p w:rsidR="00882A9C" w:rsidRPr="00E945E6" w:rsidRDefault="00882A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средств районного бюджета                             _____________________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7601" w:rsidRDefault="00827601" w:rsidP="008276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27601" w:rsidP="0082760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И.о.руководителя</w:t>
      </w:r>
    </w:p>
    <w:p w:rsidR="00C76F16" w:rsidRDefault="00827601" w:rsidP="0082760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82A9C" w:rsidRPr="00E945E6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882A9C" w:rsidRPr="00E945E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9C" w:rsidRPr="00E945E6" w:rsidRDefault="00C76F16" w:rsidP="0082760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Пировского района</w:t>
      </w:r>
      <w:r w:rsidR="00827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7601">
        <w:rPr>
          <w:rFonts w:ascii="Times New Roman" w:hAnsi="Times New Roman" w:cs="Times New Roman"/>
          <w:sz w:val="28"/>
          <w:szCs w:val="28"/>
        </w:rPr>
        <w:t>Л.А.Калашникова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7601" w:rsidRDefault="008276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8ED">
        <w:rPr>
          <w:rFonts w:ascii="Times New Roman" w:hAnsi="Times New Roman" w:cs="Times New Roman"/>
          <w:sz w:val="28"/>
          <w:szCs w:val="28"/>
        </w:rPr>
        <w:t>№</w:t>
      </w:r>
      <w:r w:rsidRPr="00E945E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 Порядку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конкурсного распределения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принимаемых расходных</w:t>
      </w:r>
    </w:p>
    <w:p w:rsidR="00882A9C" w:rsidRPr="00E945E6" w:rsidRDefault="00882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82760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25"/>
      <w:bookmarkEnd w:id="6"/>
      <w:r w:rsidRPr="00E945E6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ПРЕДЛАГАЕМЫХ К ПРИНЯТИЮ РАСХОДНЫХ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 </w:t>
      </w:r>
      <w:r w:rsidR="00827601">
        <w:rPr>
          <w:rFonts w:ascii="Times New Roman" w:hAnsi="Times New Roman" w:cs="Times New Roman"/>
          <w:b/>
          <w:bCs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1. Расчет оценки эффективности принимаемых расходных обязательств производится финансов</w:t>
      </w:r>
      <w:r w:rsidR="00827601">
        <w:rPr>
          <w:rFonts w:ascii="Times New Roman" w:hAnsi="Times New Roman" w:cs="Times New Roman"/>
          <w:sz w:val="28"/>
          <w:szCs w:val="28"/>
        </w:rPr>
        <w:t>ым</w:t>
      </w:r>
      <w:r w:rsidRPr="00E945E6">
        <w:rPr>
          <w:rFonts w:ascii="Times New Roman" w:hAnsi="Times New Roman" w:cs="Times New Roman"/>
          <w:sz w:val="28"/>
          <w:szCs w:val="28"/>
        </w:rPr>
        <w:t xml:space="preserve"> управлением на основании сводного заключения показателей эффективности конкурсного распределения принимаемых расходных обязательств. Чем больше значения названных показателей, тем более эффективным является принимаемое расходное обязательство.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2. Оценка эффективности принимаемого расходного обязательства определяется по следующей формуле: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945E6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82A9C" w:rsidRPr="00E945E6" w:rsidRDefault="00882A9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E945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I = SUM (Pi x Ci),</w:t>
      </w:r>
    </w:p>
    <w:p w:rsidR="00882A9C" w:rsidRPr="00E945E6" w:rsidRDefault="00882A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E945E6">
        <w:rPr>
          <w:rFonts w:ascii="Times New Roman" w:hAnsi="Times New Roman" w:cs="Times New Roman"/>
          <w:sz w:val="28"/>
          <w:szCs w:val="28"/>
        </w:rPr>
        <w:t>i=l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где: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I - оценка эффективности принимаемого расходного обязательства;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Pi - весовой коэффициент i-ro показателя эффективности (0,2);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Ci - оценка i-ro показателя эффективности;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n - количество показателей эффективности (5).</w:t>
      </w: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16" w:rsidRDefault="00C76F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82A9C" w:rsidRPr="00E945E6" w:rsidRDefault="00882A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>Показатели эффективности конкурсного распределения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45E6">
        <w:rPr>
          <w:rFonts w:ascii="Times New Roman" w:hAnsi="Times New Roman" w:cs="Times New Roman"/>
          <w:sz w:val="28"/>
          <w:szCs w:val="28"/>
        </w:rPr>
        <w:t xml:space="preserve">принимаемых расходных обязательств </w:t>
      </w:r>
      <w:r w:rsidR="00827601">
        <w:rPr>
          <w:rFonts w:ascii="Times New Roman" w:hAnsi="Times New Roman" w:cs="Times New Roman"/>
          <w:sz w:val="28"/>
          <w:szCs w:val="28"/>
        </w:rPr>
        <w:t>Пировского</w:t>
      </w:r>
      <w:r w:rsidRPr="00E94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A9C" w:rsidRPr="00E945E6" w:rsidRDefault="0088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82A9C" w:rsidRPr="00E945E6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4680"/>
        <w:gridCol w:w="1440"/>
      </w:tblGrid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Варианты значения показателя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1. Соответствие 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принимаемого расходного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 целям и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задачам социально-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882A9C" w:rsidRPr="00E945E6" w:rsidRDefault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="00882A9C" w:rsidRPr="00E945E6">
              <w:rPr>
                <w:rFonts w:ascii="Times New Roman" w:hAnsi="Times New Roman"/>
                <w:sz w:val="28"/>
                <w:szCs w:val="28"/>
              </w:rPr>
              <w:t xml:space="preserve"> района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принимаемое расходное обязательство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соответствует целям и задачам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социально-экономического развития</w:t>
            </w:r>
          </w:p>
          <w:p w:rsidR="00882A9C" w:rsidRPr="00E945E6" w:rsidRDefault="00C76F16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="00882A9C" w:rsidRPr="00E945E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принимаемое расходное обязательство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не соответствует целям и задачам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социально-экономического развития</w:t>
            </w:r>
          </w:p>
          <w:p w:rsidR="00882A9C" w:rsidRPr="00E945E6" w:rsidRDefault="00C76F16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="00882A9C" w:rsidRPr="00E945E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2. Улучшение показателей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социально-экономического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C76F16"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района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Принимаемое расходное обязательство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влияет на улучшение показателей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   </w:t>
            </w:r>
          </w:p>
          <w:p w:rsidR="00882A9C" w:rsidRPr="00E945E6" w:rsidRDefault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="00882A9C" w:rsidRPr="00E945E6">
              <w:rPr>
                <w:rFonts w:ascii="Times New Roman" w:hAnsi="Times New Roman"/>
                <w:sz w:val="28"/>
                <w:szCs w:val="28"/>
              </w:rPr>
              <w:t xml:space="preserve"> района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Принимаемое расходное обязательство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не оказывает влияния на улучшение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показателей социально-экономического </w:t>
            </w:r>
          </w:p>
          <w:p w:rsidR="00882A9C" w:rsidRPr="00E945E6" w:rsidRDefault="00882A9C" w:rsidP="00C7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C76F16"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района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3. Финансовая   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эффективность с учетом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расходов будущих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периодов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Проведена оценка расходов будущих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периодов при реализации принимаемого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обязательства, финансовый эффект от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реализации принимаемого обязательства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с учетом дополнительных доходов и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(или) сокращения расходов бюджета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положителен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Проведена оценка расходов будущих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периодов при реализации принимаемого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обязательства, финансовый эффект от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реализации принимаемого обязательства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учетом дополнительных доходов и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(или) сокращения расходов бюджета не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выявлен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5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Расходы будущих периодов при 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>реализации принимаемого обязательства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не оценены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4. Социальная      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эффективность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Материальные и иные преимущества в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результате реализации принимаемого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 получают все жители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района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Число жителей района, получающих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материальные и иные преимущества в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результате реализации принимаемого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обязательства, увеличивается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5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Число жителей района, получающих 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материальные и иные преимущества в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результате реализации принимаемого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обязательства, не увеличивается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5. Софинансирование из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краевого (федерального)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бюджета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Принимаемое расходное обязательство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предусматривает финансирование из  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краевого (федерального) бюджета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10    </w:t>
            </w:r>
          </w:p>
        </w:tc>
      </w:tr>
      <w:tr w:rsidR="00882A9C" w:rsidRPr="00E945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Принимаемое расходное обязательство 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не предусматривает финансирование из </w:t>
            </w:r>
          </w:p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краевого (федерального) бюджета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9C" w:rsidRPr="00E945E6" w:rsidRDefault="0088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5E6">
              <w:rPr>
                <w:rFonts w:ascii="Times New Roman" w:hAnsi="Times New Roman"/>
                <w:sz w:val="28"/>
                <w:szCs w:val="28"/>
              </w:rPr>
              <w:t xml:space="preserve">     0    </w:t>
            </w:r>
          </w:p>
        </w:tc>
      </w:tr>
    </w:tbl>
    <w:p w:rsidR="00882A9C" w:rsidRPr="00E945E6" w:rsidRDefault="00882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5E6" w:rsidRDefault="00E945E6" w:rsidP="00C76F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F16" w:rsidRDefault="00C76F16" w:rsidP="00C76F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И.о.руководителя</w:t>
      </w:r>
    </w:p>
    <w:p w:rsidR="00C76F16" w:rsidRDefault="00C76F16" w:rsidP="00C76F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C76F16" w:rsidRPr="00E945E6" w:rsidRDefault="00C76F16" w:rsidP="00C76F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Пировского района                            Л.А.Калашникова</w:t>
      </w:r>
    </w:p>
    <w:sectPr w:rsidR="00C76F16" w:rsidRPr="00E945E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E6"/>
    <w:rsid w:val="000C72E1"/>
    <w:rsid w:val="002B2491"/>
    <w:rsid w:val="003658ED"/>
    <w:rsid w:val="00473398"/>
    <w:rsid w:val="00816804"/>
    <w:rsid w:val="00827601"/>
    <w:rsid w:val="00882A9C"/>
    <w:rsid w:val="00A32974"/>
    <w:rsid w:val="00A90EC5"/>
    <w:rsid w:val="00BD7BED"/>
    <w:rsid w:val="00C2625F"/>
    <w:rsid w:val="00C76F16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E6E8D0A30C69A2B1A86EF974D36D7DDB3A06A196AD1ADC3077E3274788D0F3B0420EB7D96826BDE6s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1890</Words>
  <Characters>10778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Мотыгинского района Красноярского края от 26.07.2012 N 634-п"Об утверждении Порядка конкурсного распределения принимаемых расходных обязательств Мотыгинского района согласно эффективности планируемых мероприятий"</vt:lpstr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Мотыгинского района Красноярского края от 26.07.2012 N 634-п"Об утверждении Порядка конкурсного распределения принимаемых расходных обязательств Мотыгинского района согласно эффективности планируемых мероприятий"</dc:title>
  <dc:creator>ConsultantPlus</dc:creator>
  <cp:lastModifiedBy>User Windows</cp:lastModifiedBy>
  <cp:revision>2</cp:revision>
  <dcterms:created xsi:type="dcterms:W3CDTF">2024-12-26T04:51:00Z</dcterms:created>
  <dcterms:modified xsi:type="dcterms:W3CDTF">2024-12-26T04:51:00Z</dcterms:modified>
</cp:coreProperties>
</file>