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w:t>
      </w:r>
      <w:r w:rsidR="00832E1F" w:rsidRPr="00113309">
        <w:rPr>
          <w:b/>
          <w:sz w:val="28"/>
          <w:szCs w:val="28"/>
        </w:rPr>
        <w:t>ования Солоухинского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Pr="00113309"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2F31A5" w:rsidP="001B0206">
      <w:pPr>
        <w:shd w:val="clear" w:color="auto" w:fill="FFFFFF"/>
        <w:snapToGrid w:val="0"/>
        <w:spacing w:line="360" w:lineRule="auto"/>
        <w:jc w:val="center"/>
        <w:rPr>
          <w:b/>
          <w:caps/>
          <w:sz w:val="32"/>
          <w:szCs w:val="32"/>
        </w:rPr>
      </w:pPr>
      <w:r w:rsidRPr="002F31A5">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Солоухинского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2F31A5">
      <w:pPr>
        <w:pStyle w:val="13"/>
        <w:tabs>
          <w:tab w:val="left" w:pos="480"/>
          <w:tab w:val="right" w:leader="dot" w:pos="9629"/>
        </w:tabs>
        <w:rPr>
          <w:rFonts w:ascii="Calibri" w:hAnsi="Calibri"/>
          <w:b w:val="0"/>
          <w:bCs w:val="0"/>
          <w:caps w:val="0"/>
          <w:noProof/>
          <w:sz w:val="22"/>
          <w:szCs w:val="22"/>
        </w:rPr>
      </w:pPr>
      <w:r w:rsidRPr="002F31A5">
        <w:fldChar w:fldCharType="begin"/>
      </w:r>
      <w:r w:rsidR="00D960D8" w:rsidRPr="00113309">
        <w:instrText xml:space="preserve"> TOC \o "1-1" \h \z \t "Заголовок 2;2;Заголовок 3;3;Заголовок 4;4" </w:instrText>
      </w:r>
      <w:r w:rsidRPr="002F31A5">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2F31A5">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2F31A5">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2F31A5">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2F31A5">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2F31A5">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2F31A5">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2F31A5">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2F31A5">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2F31A5">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2F31A5">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2F31A5"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A1F" w:rsidRDefault="002D4A1F">
      <w:r>
        <w:separator/>
      </w:r>
    </w:p>
    <w:p w:rsidR="002D4A1F" w:rsidRDefault="002D4A1F"/>
  </w:endnote>
  <w:endnote w:type="continuationSeparator" w:id="1">
    <w:p w:rsidR="002D4A1F" w:rsidRDefault="002D4A1F">
      <w:r>
        <w:continuationSeparator/>
      </w:r>
    </w:p>
    <w:p w:rsidR="002D4A1F" w:rsidRDefault="002D4A1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2F31A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2F31A5" w:rsidRPr="00F43A39">
      <w:rPr>
        <w:rFonts w:ascii="Times New Roman" w:hAnsi="Times New Roman"/>
        <w:sz w:val="22"/>
        <w:szCs w:val="22"/>
      </w:rPr>
      <w:fldChar w:fldCharType="separate"/>
    </w:r>
    <w:r w:rsidR="00FF24DC" w:rsidRPr="00FF24DC">
      <w:rPr>
        <w:rFonts w:ascii="Times New Roman" w:hAnsi="Times New Roman"/>
        <w:noProof/>
        <w:sz w:val="22"/>
        <w:szCs w:val="22"/>
        <w:lang w:val="de-DE"/>
      </w:rPr>
      <w:t>3</w:t>
    </w:r>
    <w:r w:rsidR="002F31A5"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2F31A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2F31A5" w:rsidRPr="00F43A39">
      <w:rPr>
        <w:rFonts w:ascii="Times New Roman" w:hAnsi="Times New Roman"/>
        <w:sz w:val="22"/>
        <w:szCs w:val="22"/>
      </w:rPr>
      <w:fldChar w:fldCharType="separate"/>
    </w:r>
    <w:r w:rsidR="002D4A1F" w:rsidRPr="002D4A1F">
      <w:rPr>
        <w:rFonts w:ascii="Times New Roman" w:hAnsi="Times New Roman"/>
        <w:noProof/>
        <w:sz w:val="22"/>
        <w:szCs w:val="22"/>
        <w:lang w:val="de-DE"/>
      </w:rPr>
      <w:t>159</w:t>
    </w:r>
    <w:r w:rsidR="002F31A5"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2F31A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2F31A5" w:rsidRPr="00F43A39">
      <w:rPr>
        <w:rFonts w:ascii="Times New Roman" w:hAnsi="Times New Roman"/>
        <w:sz w:val="22"/>
        <w:szCs w:val="22"/>
      </w:rPr>
      <w:fldChar w:fldCharType="separate"/>
    </w:r>
    <w:r w:rsidR="002D4A1F" w:rsidRPr="002D4A1F">
      <w:rPr>
        <w:rFonts w:ascii="Times New Roman" w:hAnsi="Times New Roman"/>
        <w:noProof/>
        <w:sz w:val="22"/>
        <w:szCs w:val="22"/>
        <w:lang w:val="de-DE"/>
      </w:rPr>
      <w:t>190</w:t>
    </w:r>
    <w:r w:rsidR="002F31A5"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2F31A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2F31A5"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002F31A5"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2F31A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2F31A5"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002F31A5"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A1F" w:rsidRDefault="002D4A1F">
      <w:r>
        <w:separator/>
      </w:r>
    </w:p>
    <w:p w:rsidR="002D4A1F" w:rsidRDefault="002D4A1F"/>
  </w:footnote>
  <w:footnote w:type="continuationSeparator" w:id="1">
    <w:p w:rsidR="002D4A1F" w:rsidRDefault="002D4A1F">
      <w:r>
        <w:continuationSeparator/>
      </w:r>
    </w:p>
    <w:p w:rsidR="002D4A1F" w:rsidRDefault="002D4A1F"/>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9AC02F7C">
      <w:start w:val="1"/>
      <w:numFmt w:val="decimal"/>
      <w:pStyle w:val="a1"/>
      <w:lvlText w:val="%1"/>
      <w:lvlJc w:val="left"/>
      <w:pPr>
        <w:tabs>
          <w:tab w:val="num" w:pos="340"/>
        </w:tabs>
        <w:ind w:left="0" w:firstLine="57"/>
      </w:pPr>
      <w:rPr>
        <w:rFonts w:hint="default"/>
      </w:rPr>
    </w:lvl>
    <w:lvl w:ilvl="1" w:tplc="1E146ED6" w:tentative="1">
      <w:start w:val="1"/>
      <w:numFmt w:val="lowerLetter"/>
      <w:lvlText w:val="%2."/>
      <w:lvlJc w:val="left"/>
      <w:pPr>
        <w:tabs>
          <w:tab w:val="num" w:pos="1440"/>
        </w:tabs>
        <w:ind w:left="1440" w:hanging="360"/>
      </w:pPr>
    </w:lvl>
    <w:lvl w:ilvl="2" w:tplc="674E962E" w:tentative="1">
      <w:start w:val="1"/>
      <w:numFmt w:val="lowerRoman"/>
      <w:lvlText w:val="%3."/>
      <w:lvlJc w:val="right"/>
      <w:pPr>
        <w:tabs>
          <w:tab w:val="num" w:pos="2160"/>
        </w:tabs>
        <w:ind w:left="2160" w:hanging="180"/>
      </w:pPr>
    </w:lvl>
    <w:lvl w:ilvl="3" w:tplc="125A5756" w:tentative="1">
      <w:start w:val="1"/>
      <w:numFmt w:val="decimal"/>
      <w:lvlText w:val="%4."/>
      <w:lvlJc w:val="left"/>
      <w:pPr>
        <w:tabs>
          <w:tab w:val="num" w:pos="2880"/>
        </w:tabs>
        <w:ind w:left="2880" w:hanging="360"/>
      </w:pPr>
    </w:lvl>
    <w:lvl w:ilvl="4" w:tplc="F4249CE4" w:tentative="1">
      <w:start w:val="1"/>
      <w:numFmt w:val="lowerLetter"/>
      <w:lvlText w:val="%5."/>
      <w:lvlJc w:val="left"/>
      <w:pPr>
        <w:tabs>
          <w:tab w:val="num" w:pos="3600"/>
        </w:tabs>
        <w:ind w:left="3600" w:hanging="360"/>
      </w:pPr>
    </w:lvl>
    <w:lvl w:ilvl="5" w:tplc="522004B4" w:tentative="1">
      <w:start w:val="1"/>
      <w:numFmt w:val="lowerRoman"/>
      <w:lvlText w:val="%6."/>
      <w:lvlJc w:val="right"/>
      <w:pPr>
        <w:tabs>
          <w:tab w:val="num" w:pos="4320"/>
        </w:tabs>
        <w:ind w:left="4320" w:hanging="180"/>
      </w:pPr>
    </w:lvl>
    <w:lvl w:ilvl="6" w:tplc="D878EBD6" w:tentative="1">
      <w:start w:val="1"/>
      <w:numFmt w:val="decimal"/>
      <w:lvlText w:val="%7."/>
      <w:lvlJc w:val="left"/>
      <w:pPr>
        <w:tabs>
          <w:tab w:val="num" w:pos="5040"/>
        </w:tabs>
        <w:ind w:left="5040" w:hanging="360"/>
      </w:pPr>
    </w:lvl>
    <w:lvl w:ilvl="7" w:tplc="124C678E" w:tentative="1">
      <w:start w:val="1"/>
      <w:numFmt w:val="lowerLetter"/>
      <w:lvlText w:val="%8."/>
      <w:lvlJc w:val="left"/>
      <w:pPr>
        <w:tabs>
          <w:tab w:val="num" w:pos="5760"/>
        </w:tabs>
        <w:ind w:left="5760" w:hanging="360"/>
      </w:pPr>
    </w:lvl>
    <w:lvl w:ilvl="8" w:tplc="48600752"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1"/>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4A1F"/>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31A5"/>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24DC"/>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2F31A5"/>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2F31A5"/>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2F31A5"/>
    <w:pPr>
      <w:numPr>
        <w:ilvl w:val="6"/>
        <w:numId w:val="14"/>
      </w:numPr>
      <w:spacing w:before="240" w:after="60"/>
      <w:outlineLvl w:val="6"/>
    </w:pPr>
  </w:style>
  <w:style w:type="paragraph" w:styleId="8">
    <w:name w:val="heading 8"/>
    <w:basedOn w:val="a5"/>
    <w:next w:val="a5"/>
    <w:link w:val="80"/>
    <w:qFormat/>
    <w:rsid w:val="002F31A5"/>
    <w:pPr>
      <w:numPr>
        <w:ilvl w:val="7"/>
        <w:numId w:val="14"/>
      </w:numPr>
      <w:spacing w:before="240" w:after="60"/>
      <w:outlineLvl w:val="7"/>
    </w:pPr>
    <w:rPr>
      <w:i/>
      <w:iCs/>
    </w:rPr>
  </w:style>
  <w:style w:type="paragraph" w:styleId="9">
    <w:name w:val="heading 9"/>
    <w:basedOn w:val="a5"/>
    <w:next w:val="a5"/>
    <w:link w:val="90"/>
    <w:qFormat/>
    <w:rsid w:val="002F31A5"/>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2F31A5"/>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2F31A5"/>
    <w:pPr>
      <w:keepNext/>
      <w:widowControl w:val="0"/>
      <w:spacing w:before="60" w:after="60"/>
      <w:jc w:val="center"/>
    </w:pPr>
    <w:rPr>
      <w:b/>
      <w:sz w:val="22"/>
      <w:szCs w:val="20"/>
    </w:rPr>
  </w:style>
  <w:style w:type="paragraph" w:customStyle="1" w:styleId="ae">
    <w:name w:val="Содержание"/>
    <w:basedOn w:val="a5"/>
    <w:rsid w:val="002F31A5"/>
    <w:pPr>
      <w:widowControl w:val="0"/>
      <w:spacing w:before="240" w:after="240"/>
      <w:jc w:val="center"/>
    </w:pPr>
    <w:rPr>
      <w:b/>
      <w:caps/>
      <w:szCs w:val="20"/>
    </w:rPr>
  </w:style>
  <w:style w:type="paragraph" w:styleId="af">
    <w:name w:val="Balloon Text"/>
    <w:aliases w:val=" Знак5"/>
    <w:basedOn w:val="a5"/>
    <w:link w:val="af0"/>
    <w:rsid w:val="002F31A5"/>
    <w:pPr>
      <w:widowControl w:val="0"/>
      <w:suppressAutoHyphens/>
      <w:jc w:val="both"/>
    </w:pPr>
    <w:rPr>
      <w:rFonts w:ascii="Tahoma" w:hAnsi="Tahoma"/>
      <w:sz w:val="16"/>
      <w:szCs w:val="16"/>
    </w:rPr>
  </w:style>
  <w:style w:type="paragraph" w:styleId="13">
    <w:name w:val="toc 1"/>
    <w:basedOn w:val="a5"/>
    <w:next w:val="a5"/>
    <w:uiPriority w:val="39"/>
    <w:qFormat/>
    <w:rsid w:val="002F31A5"/>
    <w:pPr>
      <w:spacing w:before="120" w:after="120"/>
    </w:pPr>
    <w:rPr>
      <w:b/>
      <w:bCs/>
      <w:caps/>
      <w:sz w:val="20"/>
      <w:szCs w:val="20"/>
    </w:rPr>
  </w:style>
  <w:style w:type="paragraph" w:styleId="21">
    <w:name w:val="toc 2"/>
    <w:basedOn w:val="a5"/>
    <w:next w:val="a5"/>
    <w:autoRedefine/>
    <w:uiPriority w:val="39"/>
    <w:qFormat/>
    <w:rsid w:val="002F31A5"/>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2F31A5"/>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2F31A5"/>
    <w:pPr>
      <w:keepNext/>
      <w:keepLines/>
      <w:jc w:val="center"/>
    </w:pPr>
    <w:rPr>
      <w:b/>
      <w:sz w:val="22"/>
      <w:szCs w:val="22"/>
    </w:rPr>
  </w:style>
  <w:style w:type="paragraph" w:customStyle="1" w:styleId="af4">
    <w:name w:val="Табличный_центр"/>
    <w:basedOn w:val="a5"/>
    <w:rsid w:val="002F31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2F31A5"/>
    <w:pPr>
      <w:ind w:left="720"/>
    </w:pPr>
    <w:rPr>
      <w:sz w:val="18"/>
      <w:szCs w:val="18"/>
    </w:rPr>
  </w:style>
  <w:style w:type="paragraph" w:styleId="51">
    <w:name w:val="toc 5"/>
    <w:basedOn w:val="a5"/>
    <w:next w:val="a5"/>
    <w:autoRedefine/>
    <w:rsid w:val="002F31A5"/>
    <w:pPr>
      <w:ind w:left="960"/>
    </w:pPr>
    <w:rPr>
      <w:sz w:val="18"/>
      <w:szCs w:val="18"/>
    </w:rPr>
  </w:style>
  <w:style w:type="paragraph" w:styleId="61">
    <w:name w:val="toc 6"/>
    <w:basedOn w:val="a5"/>
    <w:next w:val="a5"/>
    <w:autoRedefine/>
    <w:rsid w:val="002F31A5"/>
    <w:pPr>
      <w:ind w:left="1200"/>
    </w:pPr>
    <w:rPr>
      <w:sz w:val="18"/>
      <w:szCs w:val="18"/>
    </w:rPr>
  </w:style>
  <w:style w:type="paragraph" w:styleId="71">
    <w:name w:val="toc 7"/>
    <w:basedOn w:val="a5"/>
    <w:next w:val="a5"/>
    <w:autoRedefine/>
    <w:rsid w:val="002F31A5"/>
    <w:pPr>
      <w:ind w:left="1440"/>
    </w:pPr>
    <w:rPr>
      <w:sz w:val="18"/>
      <w:szCs w:val="18"/>
    </w:rPr>
  </w:style>
  <w:style w:type="paragraph" w:styleId="81">
    <w:name w:val="toc 8"/>
    <w:basedOn w:val="a5"/>
    <w:next w:val="a5"/>
    <w:autoRedefine/>
    <w:rsid w:val="002F31A5"/>
    <w:pPr>
      <w:ind w:left="1680"/>
    </w:pPr>
    <w:rPr>
      <w:sz w:val="18"/>
      <w:szCs w:val="18"/>
    </w:rPr>
  </w:style>
  <w:style w:type="paragraph" w:styleId="91">
    <w:name w:val="toc 9"/>
    <w:basedOn w:val="a5"/>
    <w:next w:val="a5"/>
    <w:autoRedefine/>
    <w:rsid w:val="002F31A5"/>
    <w:pPr>
      <w:ind w:left="1920"/>
    </w:pPr>
    <w:rPr>
      <w:sz w:val="18"/>
      <w:szCs w:val="18"/>
    </w:rPr>
  </w:style>
  <w:style w:type="paragraph" w:styleId="af6">
    <w:name w:val="toa heading"/>
    <w:basedOn w:val="a5"/>
    <w:next w:val="a5"/>
    <w:semiHidden/>
    <w:rsid w:val="002F31A5"/>
    <w:pPr>
      <w:spacing w:before="40" w:after="20"/>
      <w:jc w:val="center"/>
    </w:pPr>
    <w:rPr>
      <w:b/>
      <w:sz w:val="22"/>
      <w:szCs w:val="20"/>
    </w:rPr>
  </w:style>
  <w:style w:type="paragraph" w:styleId="af7">
    <w:name w:val="annotation text"/>
    <w:basedOn w:val="a5"/>
    <w:link w:val="af8"/>
    <w:semiHidden/>
    <w:rsid w:val="002F31A5"/>
    <w:rPr>
      <w:sz w:val="20"/>
      <w:szCs w:val="20"/>
    </w:rPr>
  </w:style>
  <w:style w:type="paragraph" w:styleId="af9">
    <w:name w:val="annotation subject"/>
    <w:basedOn w:val="af7"/>
    <w:next w:val="af7"/>
    <w:link w:val="afa"/>
    <w:semiHidden/>
    <w:rsid w:val="002F31A5"/>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2F31A5"/>
    <w:pPr>
      <w:widowControl w:val="0"/>
      <w:shd w:val="clear" w:color="auto" w:fill="000080"/>
      <w:suppressAutoHyphens/>
      <w:jc w:val="both"/>
    </w:pPr>
    <w:rPr>
      <w:rFonts w:ascii="Tahoma" w:hAnsi="Tahoma"/>
      <w:szCs w:val="20"/>
    </w:rPr>
  </w:style>
  <w:style w:type="character" w:styleId="afd">
    <w:name w:val="annotation reference"/>
    <w:semiHidden/>
    <w:rsid w:val="002F31A5"/>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2F31A5"/>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F6071-E9F5-4F58-ABC8-76D9B9AA9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58637</Words>
  <Characters>334234</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392087</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СЕРГЕЙ</cp:lastModifiedBy>
  <cp:revision>2</cp:revision>
  <cp:lastPrinted>2011-12-21T11:36:00Z</cp:lastPrinted>
  <dcterms:created xsi:type="dcterms:W3CDTF">2015-08-17T03:58:00Z</dcterms:created>
  <dcterms:modified xsi:type="dcterms:W3CDTF">2015-08-17T03:59:00Z</dcterms:modified>
</cp:coreProperties>
</file>