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Комаровского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870CEA" w:rsidP="001B0206">
      <w:pPr>
        <w:shd w:val="clear" w:color="auto" w:fill="FFFFFF"/>
        <w:snapToGrid w:val="0"/>
        <w:spacing w:line="360" w:lineRule="auto"/>
        <w:jc w:val="center"/>
        <w:rPr>
          <w:b/>
          <w:caps/>
          <w:sz w:val="32"/>
          <w:szCs w:val="32"/>
        </w:rPr>
      </w:pPr>
      <w:r w:rsidRPr="00870CEA">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Комаровского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870CEA">
      <w:pPr>
        <w:pStyle w:val="13"/>
        <w:tabs>
          <w:tab w:val="left" w:pos="480"/>
          <w:tab w:val="right" w:leader="dot" w:pos="9629"/>
        </w:tabs>
        <w:rPr>
          <w:rFonts w:ascii="Calibri" w:hAnsi="Calibri"/>
          <w:b w:val="0"/>
          <w:bCs w:val="0"/>
          <w:caps w:val="0"/>
          <w:noProof/>
          <w:sz w:val="22"/>
          <w:szCs w:val="22"/>
        </w:rPr>
      </w:pPr>
      <w:r w:rsidRPr="00870CEA">
        <w:fldChar w:fldCharType="begin"/>
      </w:r>
      <w:r w:rsidR="00D960D8" w:rsidRPr="00113309">
        <w:instrText xml:space="preserve"> TOC \o "1-1" \h \z \t "Заголовок 2;2;Заголовок 3;3;Заголовок 4;4" </w:instrText>
      </w:r>
      <w:r w:rsidRPr="00870CEA">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870CEA">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870CEA">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870CEA">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870CEA">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870CEA">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870CEA">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870CEA">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870CEA">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870CEA">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870CEA">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870CEA"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lastRenderedPageBreak/>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544B97" w:rsidRPr="00113309" w:rsidRDefault="007A5A8C" w:rsidP="003F7045">
      <w:pPr>
        <w:pStyle w:val="a6"/>
      </w:pPr>
      <w:r w:rsidRPr="00113309">
        <w:t>Для территорий с умеренными природными условиями значение максимальной протяженности пешеходного маршрута составляет 2000 м,  это расстояние предлагается сократить до 1000 м при определении длины максимально возможного кратчайшего маршрута</w:t>
      </w:r>
      <w:r w:rsidRPr="00113309">
        <w:rPr>
          <w:vertAlign w:val="superscript"/>
        </w:rPr>
        <w:footnoteReference w:id="2"/>
      </w:r>
      <w:r w:rsidRPr="00113309">
        <w:t xml:space="preserve">.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Умеренные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1000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BE35EE"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500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600 м/10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1300 м/10-30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3"/>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504" w:rsidRDefault="00D14504">
      <w:r>
        <w:separator/>
      </w:r>
    </w:p>
    <w:p w:rsidR="00D14504" w:rsidRDefault="00D14504"/>
  </w:endnote>
  <w:endnote w:type="continuationSeparator" w:id="1">
    <w:p w:rsidR="00D14504" w:rsidRDefault="00D14504">
      <w:r>
        <w:continuationSeparator/>
      </w:r>
    </w:p>
    <w:p w:rsidR="00D14504" w:rsidRDefault="00D14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870CEA"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870CEA" w:rsidRPr="00F43A39">
      <w:rPr>
        <w:rFonts w:ascii="Times New Roman" w:hAnsi="Times New Roman"/>
        <w:sz w:val="22"/>
        <w:szCs w:val="22"/>
      </w:rPr>
      <w:fldChar w:fldCharType="separate"/>
    </w:r>
    <w:r w:rsidR="00BE35EE" w:rsidRPr="00BE35EE">
      <w:rPr>
        <w:rFonts w:ascii="Times New Roman" w:hAnsi="Times New Roman"/>
        <w:noProof/>
        <w:sz w:val="22"/>
        <w:szCs w:val="22"/>
        <w:lang w:val="de-DE"/>
      </w:rPr>
      <w:t>35</w:t>
    </w:r>
    <w:r w:rsidR="00870CEA"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870CEA"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870CEA" w:rsidRPr="00F43A39">
      <w:rPr>
        <w:rFonts w:ascii="Times New Roman" w:hAnsi="Times New Roman"/>
        <w:sz w:val="22"/>
        <w:szCs w:val="22"/>
      </w:rPr>
      <w:fldChar w:fldCharType="separate"/>
    </w:r>
    <w:r w:rsidR="00D14504" w:rsidRPr="00D14504">
      <w:rPr>
        <w:rFonts w:ascii="Times New Roman" w:hAnsi="Times New Roman"/>
        <w:noProof/>
        <w:sz w:val="22"/>
        <w:szCs w:val="22"/>
        <w:lang w:val="de-DE"/>
      </w:rPr>
      <w:t>67</w:t>
    </w:r>
    <w:r w:rsidR="00870CEA"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870CEA"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870CEA" w:rsidRPr="00F43A39">
      <w:rPr>
        <w:rFonts w:ascii="Times New Roman" w:hAnsi="Times New Roman"/>
        <w:sz w:val="22"/>
        <w:szCs w:val="22"/>
      </w:rPr>
      <w:fldChar w:fldCharType="separate"/>
    </w:r>
    <w:r w:rsidR="00D14504" w:rsidRPr="00D14504">
      <w:rPr>
        <w:rFonts w:ascii="Times New Roman" w:hAnsi="Times New Roman"/>
        <w:noProof/>
        <w:sz w:val="22"/>
        <w:szCs w:val="22"/>
        <w:lang w:val="de-DE"/>
      </w:rPr>
      <w:t>190</w:t>
    </w:r>
    <w:r w:rsidR="00870CEA"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870CEA"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870CEA"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00870CEA"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870CEA"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870CEA"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00870CEA"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504" w:rsidRDefault="00D14504">
      <w:r>
        <w:separator/>
      </w:r>
    </w:p>
    <w:p w:rsidR="00D14504" w:rsidRDefault="00D14504"/>
  </w:footnote>
  <w:footnote w:type="continuationSeparator" w:id="1">
    <w:p w:rsidR="00D14504" w:rsidRDefault="00D14504">
      <w:r>
        <w:continuationSeparator/>
      </w:r>
    </w:p>
    <w:p w:rsidR="00D14504" w:rsidRDefault="00D14504"/>
  </w:footnote>
  <w:footnote w:id="2">
    <w:p w:rsidR="00D21A99" w:rsidRPr="008C00FF" w:rsidRDefault="00D21A99" w:rsidP="007A5A8C">
      <w:pPr>
        <w:pStyle w:val="afffb"/>
      </w:pPr>
      <w:r w:rsidRPr="008C00FF">
        <w:rPr>
          <w:rStyle w:val="afffd"/>
        </w:rPr>
        <w:footnoteRef/>
      </w:r>
      <w:r w:rsidRPr="008C00FF">
        <w:t xml:space="preserve"> </w:t>
      </w:r>
      <w:r w:rsidRPr="008C00FF">
        <w:rPr>
          <w:rFonts w:ascii="Times New Roman" w:hAnsi="Times New Roman"/>
          <w:sz w:val="16"/>
        </w:rPr>
        <w:t xml:space="preserve">Для рекреационного объекта, находящегося в умеренных природных условиях,  обслуживающего жилой район с численностью населения в 1 000 человек единовременная численность посетителей составит 150 человек. На каждого посетителя приходится </w:t>
      </w:r>
      <w:r w:rsidRPr="008C00FF">
        <w:rPr>
          <w:rFonts w:ascii="Times New Roman" w:hAnsi="Times New Roman"/>
          <w:sz w:val="16"/>
        </w:rPr>
        <w:br/>
        <w:t xml:space="preserve">100 кв. м площади рекреационного объекта, поэтому общая площадь рекреационного объекта для данных условий будет равна 15 000 кв. м. При норме озеленения рекреационных объектов в 80% общая площадь пешеходно-тропиночной сети не может превышать 3000 кв. м. Поэтому при ширине тротуара в 3 м длина пешеходно-тропиночной сети составит 1000 м.  </w:t>
      </w:r>
      <w:r w:rsidRPr="008C00FF">
        <w:t xml:space="preserve"> </w:t>
      </w:r>
    </w:p>
  </w:footnote>
  <w:footnote w:id="3">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3BBE58FC">
      <w:start w:val="1"/>
      <w:numFmt w:val="decimal"/>
      <w:pStyle w:val="a1"/>
      <w:lvlText w:val="%1"/>
      <w:lvlJc w:val="left"/>
      <w:pPr>
        <w:tabs>
          <w:tab w:val="num" w:pos="340"/>
        </w:tabs>
        <w:ind w:left="0" w:firstLine="57"/>
      </w:pPr>
      <w:rPr>
        <w:rFonts w:hint="default"/>
      </w:rPr>
    </w:lvl>
    <w:lvl w:ilvl="1" w:tplc="40E881D0" w:tentative="1">
      <w:start w:val="1"/>
      <w:numFmt w:val="lowerLetter"/>
      <w:lvlText w:val="%2."/>
      <w:lvlJc w:val="left"/>
      <w:pPr>
        <w:tabs>
          <w:tab w:val="num" w:pos="1440"/>
        </w:tabs>
        <w:ind w:left="1440" w:hanging="360"/>
      </w:pPr>
    </w:lvl>
    <w:lvl w:ilvl="2" w:tplc="9788D930" w:tentative="1">
      <w:start w:val="1"/>
      <w:numFmt w:val="lowerRoman"/>
      <w:lvlText w:val="%3."/>
      <w:lvlJc w:val="right"/>
      <w:pPr>
        <w:tabs>
          <w:tab w:val="num" w:pos="2160"/>
        </w:tabs>
        <w:ind w:left="2160" w:hanging="180"/>
      </w:pPr>
    </w:lvl>
    <w:lvl w:ilvl="3" w:tplc="9AFE83AC" w:tentative="1">
      <w:start w:val="1"/>
      <w:numFmt w:val="decimal"/>
      <w:lvlText w:val="%4."/>
      <w:lvlJc w:val="left"/>
      <w:pPr>
        <w:tabs>
          <w:tab w:val="num" w:pos="2880"/>
        </w:tabs>
        <w:ind w:left="2880" w:hanging="360"/>
      </w:pPr>
    </w:lvl>
    <w:lvl w:ilvl="4" w:tplc="0778FEE8" w:tentative="1">
      <w:start w:val="1"/>
      <w:numFmt w:val="lowerLetter"/>
      <w:lvlText w:val="%5."/>
      <w:lvlJc w:val="left"/>
      <w:pPr>
        <w:tabs>
          <w:tab w:val="num" w:pos="3600"/>
        </w:tabs>
        <w:ind w:left="3600" w:hanging="360"/>
      </w:pPr>
    </w:lvl>
    <w:lvl w:ilvl="5" w:tplc="91B07A8A" w:tentative="1">
      <w:start w:val="1"/>
      <w:numFmt w:val="lowerRoman"/>
      <w:lvlText w:val="%6."/>
      <w:lvlJc w:val="right"/>
      <w:pPr>
        <w:tabs>
          <w:tab w:val="num" w:pos="4320"/>
        </w:tabs>
        <w:ind w:left="4320" w:hanging="180"/>
      </w:pPr>
    </w:lvl>
    <w:lvl w:ilvl="6" w:tplc="9A6CC1D6" w:tentative="1">
      <w:start w:val="1"/>
      <w:numFmt w:val="decimal"/>
      <w:lvlText w:val="%7."/>
      <w:lvlJc w:val="left"/>
      <w:pPr>
        <w:tabs>
          <w:tab w:val="num" w:pos="5040"/>
        </w:tabs>
        <w:ind w:left="5040" w:hanging="360"/>
      </w:pPr>
    </w:lvl>
    <w:lvl w:ilvl="7" w:tplc="BF384EE4" w:tentative="1">
      <w:start w:val="1"/>
      <w:numFmt w:val="lowerLetter"/>
      <w:lvlText w:val="%8."/>
      <w:lvlJc w:val="left"/>
      <w:pPr>
        <w:tabs>
          <w:tab w:val="num" w:pos="5760"/>
        </w:tabs>
        <w:ind w:left="5760" w:hanging="360"/>
      </w:pPr>
    </w:lvl>
    <w:lvl w:ilvl="8" w:tplc="D12649A6"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5121"/>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0CEA"/>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35EE"/>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4504"/>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870CEA"/>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870CEA"/>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870CEA"/>
    <w:pPr>
      <w:numPr>
        <w:ilvl w:val="6"/>
        <w:numId w:val="14"/>
      </w:numPr>
      <w:spacing w:before="240" w:after="60"/>
      <w:outlineLvl w:val="6"/>
    </w:pPr>
  </w:style>
  <w:style w:type="paragraph" w:styleId="8">
    <w:name w:val="heading 8"/>
    <w:basedOn w:val="a5"/>
    <w:next w:val="a5"/>
    <w:link w:val="80"/>
    <w:qFormat/>
    <w:rsid w:val="00870CEA"/>
    <w:pPr>
      <w:numPr>
        <w:ilvl w:val="7"/>
        <w:numId w:val="14"/>
      </w:numPr>
      <w:spacing w:before="240" w:after="60"/>
      <w:outlineLvl w:val="7"/>
    </w:pPr>
    <w:rPr>
      <w:i/>
      <w:iCs/>
    </w:rPr>
  </w:style>
  <w:style w:type="paragraph" w:styleId="9">
    <w:name w:val="heading 9"/>
    <w:basedOn w:val="a5"/>
    <w:next w:val="a5"/>
    <w:link w:val="90"/>
    <w:qFormat/>
    <w:rsid w:val="00870CEA"/>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870CEA"/>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870CEA"/>
    <w:pPr>
      <w:keepNext/>
      <w:widowControl w:val="0"/>
      <w:spacing w:before="60" w:after="60"/>
      <w:jc w:val="center"/>
    </w:pPr>
    <w:rPr>
      <w:b/>
      <w:sz w:val="22"/>
      <w:szCs w:val="20"/>
    </w:rPr>
  </w:style>
  <w:style w:type="paragraph" w:customStyle="1" w:styleId="ae">
    <w:name w:val="Содержание"/>
    <w:basedOn w:val="a5"/>
    <w:rsid w:val="00870CEA"/>
    <w:pPr>
      <w:widowControl w:val="0"/>
      <w:spacing w:before="240" w:after="240"/>
      <w:jc w:val="center"/>
    </w:pPr>
    <w:rPr>
      <w:b/>
      <w:caps/>
      <w:szCs w:val="20"/>
    </w:rPr>
  </w:style>
  <w:style w:type="paragraph" w:styleId="af">
    <w:name w:val="Balloon Text"/>
    <w:aliases w:val=" Знак5"/>
    <w:basedOn w:val="a5"/>
    <w:link w:val="af0"/>
    <w:rsid w:val="00870CEA"/>
    <w:pPr>
      <w:widowControl w:val="0"/>
      <w:suppressAutoHyphens/>
      <w:jc w:val="both"/>
    </w:pPr>
    <w:rPr>
      <w:rFonts w:ascii="Tahoma" w:hAnsi="Tahoma"/>
      <w:sz w:val="16"/>
      <w:szCs w:val="16"/>
    </w:rPr>
  </w:style>
  <w:style w:type="paragraph" w:styleId="13">
    <w:name w:val="toc 1"/>
    <w:basedOn w:val="a5"/>
    <w:next w:val="a5"/>
    <w:uiPriority w:val="39"/>
    <w:qFormat/>
    <w:rsid w:val="00870CEA"/>
    <w:pPr>
      <w:spacing w:before="120" w:after="120"/>
    </w:pPr>
    <w:rPr>
      <w:b/>
      <w:bCs/>
      <w:caps/>
      <w:sz w:val="20"/>
      <w:szCs w:val="20"/>
    </w:rPr>
  </w:style>
  <w:style w:type="paragraph" w:styleId="21">
    <w:name w:val="toc 2"/>
    <w:basedOn w:val="a5"/>
    <w:next w:val="a5"/>
    <w:autoRedefine/>
    <w:uiPriority w:val="39"/>
    <w:qFormat/>
    <w:rsid w:val="00870CEA"/>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870CEA"/>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870CEA"/>
    <w:pPr>
      <w:keepNext/>
      <w:keepLines/>
      <w:jc w:val="center"/>
    </w:pPr>
    <w:rPr>
      <w:b/>
      <w:sz w:val="22"/>
      <w:szCs w:val="22"/>
    </w:rPr>
  </w:style>
  <w:style w:type="paragraph" w:customStyle="1" w:styleId="af4">
    <w:name w:val="Табличный_центр"/>
    <w:basedOn w:val="a5"/>
    <w:rsid w:val="00870CEA"/>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870CEA"/>
    <w:pPr>
      <w:ind w:left="720"/>
    </w:pPr>
    <w:rPr>
      <w:sz w:val="18"/>
      <w:szCs w:val="18"/>
    </w:rPr>
  </w:style>
  <w:style w:type="paragraph" w:styleId="51">
    <w:name w:val="toc 5"/>
    <w:basedOn w:val="a5"/>
    <w:next w:val="a5"/>
    <w:autoRedefine/>
    <w:rsid w:val="00870CEA"/>
    <w:pPr>
      <w:ind w:left="960"/>
    </w:pPr>
    <w:rPr>
      <w:sz w:val="18"/>
      <w:szCs w:val="18"/>
    </w:rPr>
  </w:style>
  <w:style w:type="paragraph" w:styleId="61">
    <w:name w:val="toc 6"/>
    <w:basedOn w:val="a5"/>
    <w:next w:val="a5"/>
    <w:autoRedefine/>
    <w:rsid w:val="00870CEA"/>
    <w:pPr>
      <w:ind w:left="1200"/>
    </w:pPr>
    <w:rPr>
      <w:sz w:val="18"/>
      <w:szCs w:val="18"/>
    </w:rPr>
  </w:style>
  <w:style w:type="paragraph" w:styleId="71">
    <w:name w:val="toc 7"/>
    <w:basedOn w:val="a5"/>
    <w:next w:val="a5"/>
    <w:autoRedefine/>
    <w:rsid w:val="00870CEA"/>
    <w:pPr>
      <w:ind w:left="1440"/>
    </w:pPr>
    <w:rPr>
      <w:sz w:val="18"/>
      <w:szCs w:val="18"/>
    </w:rPr>
  </w:style>
  <w:style w:type="paragraph" w:styleId="81">
    <w:name w:val="toc 8"/>
    <w:basedOn w:val="a5"/>
    <w:next w:val="a5"/>
    <w:autoRedefine/>
    <w:rsid w:val="00870CEA"/>
    <w:pPr>
      <w:ind w:left="1680"/>
    </w:pPr>
    <w:rPr>
      <w:sz w:val="18"/>
      <w:szCs w:val="18"/>
    </w:rPr>
  </w:style>
  <w:style w:type="paragraph" w:styleId="91">
    <w:name w:val="toc 9"/>
    <w:basedOn w:val="a5"/>
    <w:next w:val="a5"/>
    <w:autoRedefine/>
    <w:rsid w:val="00870CEA"/>
    <w:pPr>
      <w:ind w:left="1920"/>
    </w:pPr>
    <w:rPr>
      <w:sz w:val="18"/>
      <w:szCs w:val="18"/>
    </w:rPr>
  </w:style>
  <w:style w:type="paragraph" w:styleId="af6">
    <w:name w:val="toa heading"/>
    <w:basedOn w:val="a5"/>
    <w:next w:val="a5"/>
    <w:semiHidden/>
    <w:rsid w:val="00870CEA"/>
    <w:pPr>
      <w:spacing w:before="40" w:after="20"/>
      <w:jc w:val="center"/>
    </w:pPr>
    <w:rPr>
      <w:b/>
      <w:sz w:val="22"/>
      <w:szCs w:val="20"/>
    </w:rPr>
  </w:style>
  <w:style w:type="paragraph" w:styleId="af7">
    <w:name w:val="annotation text"/>
    <w:basedOn w:val="a5"/>
    <w:link w:val="af8"/>
    <w:semiHidden/>
    <w:rsid w:val="00870CEA"/>
    <w:rPr>
      <w:sz w:val="20"/>
      <w:szCs w:val="20"/>
    </w:rPr>
  </w:style>
  <w:style w:type="paragraph" w:styleId="af9">
    <w:name w:val="annotation subject"/>
    <w:basedOn w:val="af7"/>
    <w:next w:val="af7"/>
    <w:link w:val="afa"/>
    <w:semiHidden/>
    <w:rsid w:val="00870CEA"/>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870CEA"/>
    <w:pPr>
      <w:widowControl w:val="0"/>
      <w:shd w:val="clear" w:color="auto" w:fill="000080"/>
      <w:suppressAutoHyphens/>
      <w:jc w:val="both"/>
    </w:pPr>
    <w:rPr>
      <w:rFonts w:ascii="Tahoma" w:hAnsi="Tahoma"/>
      <w:szCs w:val="20"/>
    </w:rPr>
  </w:style>
  <w:style w:type="character" w:styleId="afd">
    <w:name w:val="annotation reference"/>
    <w:semiHidden/>
    <w:rsid w:val="00870CEA"/>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870CEA"/>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A181-B531-407E-8480-01C0A6770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58636</Words>
  <Characters>334227</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392079</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СЕРГЕЙ</cp:lastModifiedBy>
  <cp:revision>2</cp:revision>
  <cp:lastPrinted>2011-12-21T11:36:00Z</cp:lastPrinted>
  <dcterms:created xsi:type="dcterms:W3CDTF">2015-08-17T03:55:00Z</dcterms:created>
  <dcterms:modified xsi:type="dcterms:W3CDTF">2015-08-17T03:59:00Z</dcterms:modified>
</cp:coreProperties>
</file>