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15" w:rsidRPr="00541343" w:rsidRDefault="00D55C15" w:rsidP="00D55C15">
      <w:pPr>
        <w:spacing w:after="0" w:line="240" w:lineRule="auto"/>
        <w:ind w:left="3539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413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32E7E" wp14:editId="1CBB9595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C15" w:rsidRPr="00D55C15" w:rsidRDefault="00D55C15" w:rsidP="00D55C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C15">
        <w:rPr>
          <w:rFonts w:ascii="Times New Roman" w:eastAsia="Calibri" w:hAnsi="Times New Roman" w:cs="Times New Roman"/>
          <w:b/>
          <w:sz w:val="24"/>
          <w:szCs w:val="24"/>
        </w:rPr>
        <w:t>КРАСНОЯРСКИЙ КРАЙ</w:t>
      </w:r>
    </w:p>
    <w:p w:rsidR="00D55C15" w:rsidRPr="00D55C15" w:rsidRDefault="00D55C15" w:rsidP="00D55C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C1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D55C15" w:rsidRPr="00D55C15" w:rsidRDefault="00D55C15" w:rsidP="00D55C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C15">
        <w:rPr>
          <w:rFonts w:ascii="Times New Roman" w:eastAsia="Calibri" w:hAnsi="Times New Roman" w:cs="Times New Roman"/>
          <w:b/>
          <w:sz w:val="24"/>
          <w:szCs w:val="24"/>
        </w:rPr>
        <w:t>ПИРОВСКОГО МУНИЦИПАЛЬНОГО ОКРУГА</w:t>
      </w:r>
    </w:p>
    <w:p w:rsidR="00D55C15" w:rsidRPr="00D55C15" w:rsidRDefault="00D55C15" w:rsidP="00D55C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5C15" w:rsidRPr="00D55C15" w:rsidRDefault="00D55C15" w:rsidP="00D55C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C1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D55C15" w:rsidRPr="00541343" w:rsidRDefault="00D55C15" w:rsidP="00D55C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5C15" w:rsidRPr="00541343" w:rsidTr="00D92BE0">
        <w:tc>
          <w:tcPr>
            <w:tcW w:w="3190" w:type="dxa"/>
            <w:shd w:val="clear" w:color="auto" w:fill="auto"/>
          </w:tcPr>
          <w:p w:rsidR="00D55C15" w:rsidRPr="00541343" w:rsidRDefault="00D55C15" w:rsidP="00435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34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35C0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41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541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4134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D55C15" w:rsidRPr="00541343" w:rsidRDefault="00D55C15" w:rsidP="00D92B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с. Пировское</w:t>
            </w:r>
          </w:p>
        </w:tc>
        <w:tc>
          <w:tcPr>
            <w:tcW w:w="3191" w:type="dxa"/>
            <w:shd w:val="clear" w:color="auto" w:fill="auto"/>
          </w:tcPr>
          <w:p w:rsidR="00D55C15" w:rsidRPr="00541343" w:rsidRDefault="00D55C15" w:rsidP="00435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№ </w:t>
            </w:r>
            <w:r w:rsidR="00435C00">
              <w:rPr>
                <w:rFonts w:ascii="Times New Roman" w:eastAsia="Calibri" w:hAnsi="Times New Roman" w:cs="Times New Roman"/>
                <w:sz w:val="28"/>
                <w:szCs w:val="28"/>
              </w:rPr>
              <w:t>28-п</w:t>
            </w:r>
          </w:p>
        </w:tc>
      </w:tr>
    </w:tbl>
    <w:p w:rsidR="00AB70F9" w:rsidRPr="00FE7D12" w:rsidRDefault="00AB70F9" w:rsidP="00D55C15">
      <w:pPr>
        <w:tabs>
          <w:tab w:val="left" w:pos="4157"/>
        </w:tabs>
        <w:rPr>
          <w:rFonts w:ascii="Times New Roman" w:hAnsi="Times New Roman" w:cs="Times New Roman"/>
          <w:b/>
          <w:sz w:val="28"/>
          <w:szCs w:val="28"/>
        </w:rPr>
      </w:pPr>
    </w:p>
    <w:p w:rsidR="00FE7D12" w:rsidRDefault="00A129E8" w:rsidP="0028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7D1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129E8" w:rsidRDefault="00A129E8" w:rsidP="0028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Пировского муниципального округа </w:t>
      </w:r>
      <w:r w:rsidR="00962BCE">
        <w:rPr>
          <w:rFonts w:ascii="Times New Roman" w:hAnsi="Times New Roman" w:cs="Times New Roman"/>
          <w:sz w:val="28"/>
          <w:szCs w:val="28"/>
        </w:rPr>
        <w:t>от 30.12.2020г.</w:t>
      </w:r>
      <w:r w:rsidR="005B64C2">
        <w:rPr>
          <w:rFonts w:ascii="Times New Roman" w:hAnsi="Times New Roman" w:cs="Times New Roman"/>
          <w:sz w:val="28"/>
          <w:szCs w:val="28"/>
        </w:rPr>
        <w:t xml:space="preserve"> </w:t>
      </w:r>
      <w:r w:rsidR="00FE7D12">
        <w:rPr>
          <w:rFonts w:ascii="Times New Roman" w:hAnsi="Times New Roman" w:cs="Times New Roman"/>
          <w:sz w:val="28"/>
          <w:szCs w:val="28"/>
        </w:rPr>
        <w:t xml:space="preserve">№382-п  </w:t>
      </w:r>
    </w:p>
    <w:p w:rsidR="00FE7D12" w:rsidRDefault="00A129E8" w:rsidP="0028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7D12">
        <w:rPr>
          <w:rFonts w:ascii="Times New Roman" w:hAnsi="Times New Roman" w:cs="Times New Roman"/>
          <w:sz w:val="28"/>
          <w:szCs w:val="28"/>
        </w:rPr>
        <w:t>«</w:t>
      </w:r>
      <w:r w:rsidR="0015195F" w:rsidRPr="00FE7D1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95F" w:rsidRPr="00FE7D12">
        <w:rPr>
          <w:rFonts w:ascii="Times New Roman" w:hAnsi="Times New Roman" w:cs="Times New Roman"/>
          <w:sz w:val="28"/>
          <w:szCs w:val="28"/>
        </w:rPr>
        <w:t>карты рисков нарушения антимонопольного</w:t>
      </w:r>
    </w:p>
    <w:p w:rsidR="009441B6" w:rsidRPr="00FE7D12" w:rsidRDefault="00A129E8" w:rsidP="0028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5195F" w:rsidRPr="00FE7D1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E7D12">
        <w:rPr>
          <w:rFonts w:ascii="Times New Roman" w:hAnsi="Times New Roman" w:cs="Times New Roman"/>
          <w:sz w:val="28"/>
          <w:szCs w:val="28"/>
        </w:rPr>
        <w:t>»</w:t>
      </w:r>
    </w:p>
    <w:p w:rsidR="0015195F" w:rsidRPr="00FE7D12" w:rsidRDefault="0015195F" w:rsidP="0028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A4D" w:rsidRDefault="00281A4D" w:rsidP="0028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 xml:space="preserve">    </w:t>
      </w:r>
      <w:r w:rsidR="00D5143A" w:rsidRPr="00FE7D12">
        <w:rPr>
          <w:rFonts w:ascii="Times New Roman" w:hAnsi="Times New Roman" w:cs="Times New Roman"/>
          <w:sz w:val="28"/>
          <w:szCs w:val="28"/>
        </w:rPr>
        <w:t xml:space="preserve">   </w:t>
      </w:r>
      <w:r w:rsidRPr="00FE7D12">
        <w:rPr>
          <w:rFonts w:ascii="Times New Roman" w:hAnsi="Times New Roman" w:cs="Times New Roman"/>
          <w:sz w:val="28"/>
          <w:szCs w:val="28"/>
        </w:rPr>
        <w:t xml:space="preserve"> </w:t>
      </w:r>
      <w:r w:rsidR="005B64C2">
        <w:rPr>
          <w:rFonts w:ascii="Times New Roman" w:hAnsi="Times New Roman" w:cs="Times New Roman"/>
          <w:sz w:val="28"/>
          <w:szCs w:val="28"/>
        </w:rPr>
        <w:t xml:space="preserve"> </w:t>
      </w:r>
      <w:r w:rsidRPr="00FE7D12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 декабря 2017 г.  № 618 «Об основных направлениях государственной политики по развитию конкуренции», перечня поручений Губернатора Красноярского края от 18.04.2019 № 8-ГП по вопросу введения и функционирования в Красноярском крае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FE7D1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B70F9" w:rsidRPr="00FE7D12">
        <w:rPr>
          <w:rFonts w:ascii="Times New Roman" w:hAnsi="Times New Roman" w:cs="Times New Roman"/>
          <w:sz w:val="28"/>
          <w:szCs w:val="28"/>
        </w:rPr>
        <w:t>)</w:t>
      </w:r>
      <w:r w:rsidRPr="00FE7D12">
        <w:rPr>
          <w:rFonts w:ascii="Times New Roman" w:hAnsi="Times New Roman" w:cs="Times New Roman"/>
          <w:sz w:val="28"/>
          <w:szCs w:val="28"/>
        </w:rPr>
        <w:t>, в целях соблюдения антимонопольного законодательства и предупреждения его нарушения, руководствуясь Уставом Пировского муниципального округа</w:t>
      </w:r>
      <w:r w:rsidR="00AB70F9" w:rsidRPr="00FE7D1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5195F" w:rsidRPr="00FE7D12">
        <w:rPr>
          <w:rFonts w:ascii="Times New Roman" w:hAnsi="Times New Roman" w:cs="Times New Roman"/>
          <w:sz w:val="28"/>
          <w:szCs w:val="28"/>
        </w:rPr>
        <w:t>, ПОСТАНОВЛЯЮ</w:t>
      </w:r>
      <w:r w:rsidRPr="00FE7D12">
        <w:rPr>
          <w:rFonts w:ascii="Times New Roman" w:hAnsi="Times New Roman" w:cs="Times New Roman"/>
          <w:sz w:val="28"/>
          <w:szCs w:val="28"/>
        </w:rPr>
        <w:t>:</w:t>
      </w:r>
    </w:p>
    <w:p w:rsidR="00962BCE" w:rsidRPr="00FE7D12" w:rsidRDefault="00962BCE" w:rsidP="0028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30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Пировского муниципального округа от 30.12.2020 г. №382-п «Об утверждении карты рисков нарушения антимонопольного законодательства» следующие изменения.</w:t>
      </w:r>
    </w:p>
    <w:p w:rsidR="00281A4D" w:rsidRDefault="00A46208" w:rsidP="005B6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EA1">
        <w:rPr>
          <w:rFonts w:ascii="Times New Roman" w:hAnsi="Times New Roman" w:cs="Times New Roman"/>
          <w:sz w:val="28"/>
          <w:szCs w:val="28"/>
        </w:rPr>
        <w:t>1.1</w:t>
      </w:r>
      <w:r w:rsidR="00281A4D" w:rsidRPr="00FE7D12">
        <w:rPr>
          <w:rFonts w:ascii="Times New Roman" w:hAnsi="Times New Roman" w:cs="Times New Roman"/>
          <w:sz w:val="28"/>
          <w:szCs w:val="28"/>
        </w:rPr>
        <w:t xml:space="preserve">. </w:t>
      </w:r>
      <w:r w:rsidR="004F5EA1">
        <w:rPr>
          <w:rFonts w:ascii="Times New Roman" w:hAnsi="Times New Roman" w:cs="Times New Roman"/>
          <w:sz w:val="28"/>
          <w:szCs w:val="28"/>
        </w:rPr>
        <w:t>Приложени</w:t>
      </w:r>
      <w:r w:rsidR="00F37A8E">
        <w:rPr>
          <w:rFonts w:ascii="Times New Roman" w:hAnsi="Times New Roman" w:cs="Times New Roman"/>
          <w:sz w:val="28"/>
          <w:szCs w:val="28"/>
        </w:rPr>
        <w:t>я №</w:t>
      </w:r>
      <w:r w:rsidR="004F5EA1">
        <w:rPr>
          <w:rFonts w:ascii="Times New Roman" w:hAnsi="Times New Roman" w:cs="Times New Roman"/>
          <w:sz w:val="28"/>
          <w:szCs w:val="28"/>
        </w:rPr>
        <w:t>№</w:t>
      </w:r>
      <w:r w:rsidR="00F67AC6">
        <w:rPr>
          <w:rFonts w:ascii="Times New Roman" w:hAnsi="Times New Roman" w:cs="Times New Roman"/>
          <w:sz w:val="28"/>
          <w:szCs w:val="28"/>
        </w:rPr>
        <w:t>2,3,4</w:t>
      </w:r>
      <w:r w:rsidR="00BC6B30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="005B64C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039D3">
        <w:rPr>
          <w:rFonts w:ascii="Times New Roman" w:hAnsi="Times New Roman" w:cs="Times New Roman"/>
          <w:sz w:val="28"/>
          <w:szCs w:val="28"/>
        </w:rPr>
        <w:t>п</w:t>
      </w:r>
      <w:r w:rsidR="00261B7F" w:rsidRPr="00FE7D12">
        <w:rPr>
          <w:rFonts w:ascii="Times New Roman" w:hAnsi="Times New Roman" w:cs="Times New Roman"/>
          <w:sz w:val="28"/>
          <w:szCs w:val="28"/>
        </w:rPr>
        <w:t>риложени</w:t>
      </w:r>
      <w:r w:rsidR="00D55C15">
        <w:rPr>
          <w:rFonts w:ascii="Times New Roman" w:hAnsi="Times New Roman" w:cs="Times New Roman"/>
          <w:sz w:val="28"/>
          <w:szCs w:val="28"/>
        </w:rPr>
        <w:t>ям</w:t>
      </w:r>
      <w:r w:rsidR="00261B7F" w:rsidRPr="00FE7D12">
        <w:rPr>
          <w:rFonts w:ascii="Times New Roman" w:hAnsi="Times New Roman" w:cs="Times New Roman"/>
          <w:sz w:val="28"/>
          <w:szCs w:val="28"/>
        </w:rPr>
        <w:t xml:space="preserve"> № </w:t>
      </w:r>
      <w:r w:rsidR="00BC6B30">
        <w:rPr>
          <w:rFonts w:ascii="Times New Roman" w:hAnsi="Times New Roman" w:cs="Times New Roman"/>
          <w:sz w:val="28"/>
          <w:szCs w:val="28"/>
        </w:rPr>
        <w:t>1</w:t>
      </w:r>
      <w:r w:rsidR="00F67AC6">
        <w:rPr>
          <w:rFonts w:ascii="Times New Roman" w:hAnsi="Times New Roman" w:cs="Times New Roman"/>
          <w:sz w:val="28"/>
          <w:szCs w:val="28"/>
        </w:rPr>
        <w:t>,2,3</w:t>
      </w:r>
      <w:r w:rsidR="005B64C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81A4D" w:rsidRPr="00FE7D12">
        <w:rPr>
          <w:rFonts w:ascii="Times New Roman" w:hAnsi="Times New Roman" w:cs="Times New Roman"/>
          <w:sz w:val="28"/>
          <w:szCs w:val="28"/>
        </w:rPr>
        <w:t>.</w:t>
      </w:r>
    </w:p>
    <w:p w:rsidR="006F195E" w:rsidRPr="00FE7D12" w:rsidRDefault="004F5EA1" w:rsidP="00151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A4D" w:rsidRPr="00FE7D12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</w:t>
      </w:r>
      <w:r w:rsidR="0015195F" w:rsidRPr="00FE7D12">
        <w:rPr>
          <w:rFonts w:ascii="Times New Roman" w:hAnsi="Times New Roman" w:cs="Times New Roman"/>
          <w:sz w:val="28"/>
          <w:szCs w:val="28"/>
        </w:rPr>
        <w:t>постановления</w:t>
      </w:r>
      <w:r w:rsidR="00281A4D" w:rsidRPr="00FE7D12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F5389" w:rsidRPr="00FE7D1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81A4D" w:rsidRPr="00FE7D12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7F5389" w:rsidRPr="00FE7D12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="00F37A8E">
        <w:rPr>
          <w:rFonts w:ascii="Times New Roman" w:hAnsi="Times New Roman" w:cs="Times New Roman"/>
          <w:sz w:val="28"/>
          <w:szCs w:val="28"/>
        </w:rPr>
        <w:t xml:space="preserve"> Ивченко С.С.</w:t>
      </w:r>
    </w:p>
    <w:p w:rsidR="007F5389" w:rsidRPr="00FE7D12" w:rsidRDefault="00BB2BF3" w:rsidP="00F6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F15">
        <w:rPr>
          <w:rFonts w:ascii="Times New Roman" w:hAnsi="Times New Roman" w:cs="Times New Roman"/>
          <w:sz w:val="28"/>
          <w:szCs w:val="28"/>
        </w:rPr>
        <w:t>3</w:t>
      </w:r>
      <w:r w:rsidR="006F195E" w:rsidRPr="00FE7D12">
        <w:rPr>
          <w:rFonts w:ascii="Times New Roman" w:hAnsi="Times New Roman" w:cs="Times New Roman"/>
          <w:sz w:val="28"/>
          <w:szCs w:val="28"/>
        </w:rPr>
        <w:t>.</w:t>
      </w:r>
      <w:r w:rsidR="007F5389" w:rsidRPr="00FE7D12">
        <w:rPr>
          <w:rFonts w:ascii="Times New Roman" w:hAnsi="Times New Roman" w:cs="Times New Roman"/>
          <w:sz w:val="28"/>
          <w:szCs w:val="28"/>
        </w:rPr>
        <w:t xml:space="preserve"> </w:t>
      </w:r>
      <w:r w:rsidR="0015195F" w:rsidRPr="00FE7D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F195E" w:rsidRPr="00FE7D1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0131D9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</w:t>
      </w:r>
      <w:r w:rsidR="0070394E" w:rsidRPr="0070394E">
        <w:rPr>
          <w:rFonts w:ascii="Times New Roman" w:hAnsi="Times New Roman" w:cs="Times New Roman"/>
          <w:sz w:val="28"/>
          <w:szCs w:val="28"/>
        </w:rPr>
        <w:t xml:space="preserve"> официального опублик</w:t>
      </w:r>
      <w:r w:rsidR="00F67AC6">
        <w:rPr>
          <w:rFonts w:ascii="Times New Roman" w:hAnsi="Times New Roman" w:cs="Times New Roman"/>
          <w:sz w:val="28"/>
          <w:szCs w:val="28"/>
        </w:rPr>
        <w:t>ования в районной газете «Заря»</w:t>
      </w:r>
      <w:r w:rsidR="000131D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F67AC6">
        <w:rPr>
          <w:rFonts w:ascii="Times New Roman" w:hAnsi="Times New Roman" w:cs="Times New Roman"/>
          <w:sz w:val="28"/>
          <w:szCs w:val="28"/>
        </w:rPr>
        <w:t xml:space="preserve"> </w:t>
      </w:r>
      <w:r w:rsidR="006F195E" w:rsidRPr="00FE7D12">
        <w:rPr>
          <w:rFonts w:ascii="Times New Roman" w:hAnsi="Times New Roman" w:cs="Times New Roman"/>
          <w:sz w:val="28"/>
          <w:szCs w:val="28"/>
        </w:rPr>
        <w:t xml:space="preserve">с </w:t>
      </w:r>
      <w:r w:rsidR="0015195F" w:rsidRPr="00FE7D12">
        <w:rPr>
          <w:rFonts w:ascii="Times New Roman" w:hAnsi="Times New Roman" w:cs="Times New Roman"/>
          <w:sz w:val="28"/>
          <w:szCs w:val="28"/>
        </w:rPr>
        <w:t>01.01.202</w:t>
      </w:r>
      <w:r w:rsidR="005B64C2">
        <w:rPr>
          <w:rFonts w:ascii="Times New Roman" w:hAnsi="Times New Roman" w:cs="Times New Roman"/>
          <w:sz w:val="28"/>
          <w:szCs w:val="28"/>
        </w:rPr>
        <w:t>4</w:t>
      </w:r>
      <w:r w:rsidR="0015195F" w:rsidRPr="00FE7D1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F5389" w:rsidRPr="00FE7D12" w:rsidRDefault="007F5389" w:rsidP="007F5389">
      <w:pPr>
        <w:rPr>
          <w:rFonts w:ascii="Times New Roman" w:hAnsi="Times New Roman" w:cs="Times New Roman"/>
          <w:sz w:val="28"/>
          <w:szCs w:val="28"/>
        </w:rPr>
      </w:pPr>
    </w:p>
    <w:p w:rsidR="00D05D52" w:rsidRPr="00FE7D12" w:rsidRDefault="007F5389" w:rsidP="007F5389">
      <w:pPr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>Глава Пировского муниципального округа                                        А.И. Евсеев</w:t>
      </w:r>
    </w:p>
    <w:p w:rsidR="00D05D52" w:rsidRPr="00FE7D12" w:rsidRDefault="00D05D52" w:rsidP="007F5389">
      <w:pPr>
        <w:rPr>
          <w:rFonts w:ascii="Times New Roman" w:hAnsi="Times New Roman" w:cs="Times New Roman"/>
          <w:sz w:val="28"/>
          <w:szCs w:val="28"/>
        </w:rPr>
        <w:sectPr w:rsidR="00D05D52" w:rsidRPr="00FE7D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49D5" w:rsidRPr="00FE7D12" w:rsidRDefault="00D05D52" w:rsidP="002549D5">
      <w:pPr>
        <w:tabs>
          <w:tab w:val="left" w:pos="11145"/>
        </w:tabs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549D5" w:rsidRPr="00FE7D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549D5">
        <w:rPr>
          <w:rFonts w:ascii="Times New Roman" w:hAnsi="Times New Roman" w:cs="Times New Roman"/>
          <w:sz w:val="28"/>
          <w:szCs w:val="28"/>
        </w:rPr>
        <w:t>1</w:t>
      </w:r>
    </w:p>
    <w:p w:rsidR="002549D5" w:rsidRPr="00FE7D12" w:rsidRDefault="002549D5" w:rsidP="002549D5">
      <w:pPr>
        <w:tabs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ab/>
        <w:t xml:space="preserve"> к постановлению администрации Пировского</w:t>
      </w:r>
    </w:p>
    <w:p w:rsidR="002549D5" w:rsidRPr="00FE7D12" w:rsidRDefault="002549D5" w:rsidP="002549D5">
      <w:pPr>
        <w:tabs>
          <w:tab w:val="left" w:pos="907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5C0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 января</w:t>
      </w:r>
      <w:r w:rsidRPr="00FE7D1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7D12">
        <w:rPr>
          <w:rFonts w:ascii="Times New Roman" w:hAnsi="Times New Roman" w:cs="Times New Roman"/>
          <w:sz w:val="28"/>
          <w:szCs w:val="28"/>
        </w:rPr>
        <w:t>г. №</w:t>
      </w:r>
      <w:r w:rsidR="00435C00">
        <w:rPr>
          <w:rFonts w:ascii="Times New Roman" w:hAnsi="Times New Roman" w:cs="Times New Roman"/>
          <w:sz w:val="28"/>
          <w:szCs w:val="28"/>
        </w:rPr>
        <w:t>28-п</w:t>
      </w:r>
    </w:p>
    <w:p w:rsidR="0070394E" w:rsidRPr="00FE7D12" w:rsidRDefault="0070394E" w:rsidP="0070394E">
      <w:pPr>
        <w:tabs>
          <w:tab w:val="left" w:pos="11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FE7D1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0394E" w:rsidRPr="00FE7D12" w:rsidRDefault="0070394E" w:rsidP="0070394E">
      <w:pPr>
        <w:tabs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ab/>
        <w:t xml:space="preserve"> к постановлению администрации Пировского</w:t>
      </w:r>
    </w:p>
    <w:p w:rsidR="0070394E" w:rsidRPr="00FE7D12" w:rsidRDefault="0070394E" w:rsidP="0070394E">
      <w:pPr>
        <w:tabs>
          <w:tab w:val="left" w:pos="907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муниципального округа от 30 декабря 2020г. №382-п</w:t>
      </w:r>
    </w:p>
    <w:p w:rsidR="0070394E" w:rsidRPr="00FE7D12" w:rsidRDefault="0070394E" w:rsidP="0070394E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870533" w:rsidRPr="00FE7D12" w:rsidRDefault="00870533" w:rsidP="00870533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870533" w:rsidRPr="00FE7D12" w:rsidRDefault="00870533" w:rsidP="00870533">
      <w:pPr>
        <w:tabs>
          <w:tab w:val="left" w:pos="518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E7D1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70533" w:rsidRPr="00FE7D12" w:rsidRDefault="00870533" w:rsidP="00870533">
      <w:pPr>
        <w:tabs>
          <w:tab w:val="left" w:pos="518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D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 снижению рисков нарушения антимонопольного законодательства</w:t>
      </w:r>
    </w:p>
    <w:p w:rsidR="00870533" w:rsidRPr="00FE7D12" w:rsidRDefault="00870533" w:rsidP="00870533">
      <w:pPr>
        <w:tabs>
          <w:tab w:val="left" w:pos="518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D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администрации Пировского муниципального округа Красноярского края</w:t>
      </w:r>
    </w:p>
    <w:p w:rsidR="00870533" w:rsidRPr="00FE7D12" w:rsidRDefault="00870533" w:rsidP="00870533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4007"/>
        <w:gridCol w:w="4423"/>
        <w:gridCol w:w="2010"/>
        <w:gridCol w:w="3435"/>
      </w:tblGrid>
      <w:tr w:rsidR="00E8092F" w:rsidRPr="00FE7D12" w:rsidTr="00AB1D4A">
        <w:trPr>
          <w:trHeight w:val="909"/>
        </w:trPr>
        <w:tc>
          <w:tcPr>
            <w:tcW w:w="656" w:type="dxa"/>
          </w:tcPr>
          <w:p w:rsidR="00F47CED" w:rsidRPr="00FE7D12" w:rsidRDefault="00F47CED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7CED" w:rsidRPr="00FE7D12" w:rsidRDefault="00F47CED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F47CED" w:rsidRPr="00FE7D12" w:rsidRDefault="00F47CED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7" w:type="dxa"/>
          </w:tcPr>
          <w:p w:rsidR="00F47CED" w:rsidRPr="00FE7D12" w:rsidRDefault="00CD3190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Описание мероприятий</w:t>
            </w: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:rsidR="00F47CED" w:rsidRPr="00FE7D12" w:rsidRDefault="00F47CED" w:rsidP="00F47C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 по минимизации и</w:t>
            </w:r>
            <w:r w:rsidR="009B14E0"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устранению </w:t>
            </w:r>
            <w:proofErr w:type="spellStart"/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комплаенс</w:t>
            </w:r>
            <w:proofErr w:type="spellEnd"/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-рисков</w:t>
            </w:r>
          </w:p>
          <w:p w:rsidR="00F47CED" w:rsidRPr="00FE7D12" w:rsidRDefault="00F47CED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F47CED" w:rsidRPr="00FE7D12" w:rsidRDefault="00F4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  <w:p w:rsidR="00F47CED" w:rsidRPr="00FE7D12" w:rsidRDefault="00F47CED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F47CED" w:rsidRPr="00FE7D12" w:rsidRDefault="00F47CED" w:rsidP="00F47CE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  <w:p w:rsidR="00F47CED" w:rsidRPr="00FE7D12" w:rsidRDefault="00F47CED" w:rsidP="00F47CE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Пировского муниципального округа,</w:t>
            </w:r>
          </w:p>
          <w:p w:rsidR="00F47CED" w:rsidRPr="00FE7D12" w:rsidRDefault="00F47CED" w:rsidP="00F47CE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за выполнение</w:t>
            </w:r>
            <w:proofErr w:type="gramEnd"/>
          </w:p>
          <w:p w:rsidR="00F47CED" w:rsidRPr="00FE7D12" w:rsidRDefault="00F47CED" w:rsidP="00F47CE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 по минимизации и</w:t>
            </w:r>
            <w:r w:rsidR="00DF7B66"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устранению </w:t>
            </w:r>
            <w:proofErr w:type="spellStart"/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комплаенс</w:t>
            </w:r>
            <w:proofErr w:type="spellEnd"/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-рисков</w:t>
            </w:r>
          </w:p>
          <w:p w:rsidR="00F47CED" w:rsidRPr="00FE7D12" w:rsidRDefault="00F47CED" w:rsidP="00F47C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92F" w:rsidRPr="00FE7D12" w:rsidTr="00AB1D4A">
        <w:trPr>
          <w:trHeight w:val="299"/>
        </w:trPr>
        <w:tc>
          <w:tcPr>
            <w:tcW w:w="656" w:type="dxa"/>
          </w:tcPr>
          <w:p w:rsidR="00F47CED" w:rsidRPr="00FE7D12" w:rsidRDefault="00F47CED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4007" w:type="dxa"/>
          </w:tcPr>
          <w:p w:rsidR="00F47CED" w:rsidRPr="00FE7D12" w:rsidRDefault="00F47CED" w:rsidP="00F47CED">
            <w:pPr>
              <w:tabs>
                <w:tab w:val="left" w:pos="404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423" w:type="dxa"/>
          </w:tcPr>
          <w:p w:rsidR="00F47CED" w:rsidRPr="00FE7D12" w:rsidRDefault="00F47CED" w:rsidP="00F47CED">
            <w:pPr>
              <w:tabs>
                <w:tab w:val="left" w:pos="2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3</w:t>
            </w:r>
          </w:p>
        </w:tc>
        <w:tc>
          <w:tcPr>
            <w:tcW w:w="1887" w:type="dxa"/>
          </w:tcPr>
          <w:p w:rsidR="00F47CED" w:rsidRPr="00FE7D12" w:rsidRDefault="00F47CED" w:rsidP="00F47CED">
            <w:pPr>
              <w:tabs>
                <w:tab w:val="left" w:pos="404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435" w:type="dxa"/>
          </w:tcPr>
          <w:p w:rsidR="00F47CED" w:rsidRPr="00FE7D12" w:rsidRDefault="00F47CED" w:rsidP="00F47CED">
            <w:pPr>
              <w:tabs>
                <w:tab w:val="left" w:pos="1304"/>
                <w:tab w:val="center" w:pos="1629"/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5</w:t>
            </w:r>
          </w:p>
        </w:tc>
      </w:tr>
      <w:tr w:rsidR="00F47CED" w:rsidRPr="00FE7D12" w:rsidTr="009B14E0">
        <w:trPr>
          <w:trHeight w:val="339"/>
        </w:trPr>
        <w:tc>
          <w:tcPr>
            <w:tcW w:w="14408" w:type="dxa"/>
            <w:gridSpan w:val="5"/>
          </w:tcPr>
          <w:p w:rsidR="00F47CED" w:rsidRPr="00FE7D12" w:rsidRDefault="00F47CED" w:rsidP="00F47CED">
            <w:pPr>
              <w:tabs>
                <w:tab w:val="left" w:pos="356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Общие мероприятия  по минимизации и устранению </w:t>
            </w:r>
            <w:proofErr w:type="spellStart"/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комплаенс</w:t>
            </w:r>
            <w:proofErr w:type="spellEnd"/>
            <w:r w:rsidRPr="00FE7D12">
              <w:rPr>
                <w:rFonts w:ascii="Times New Roman" w:hAnsi="Times New Roman" w:cs="Times New Roman"/>
                <w:b/>
                <w:sz w:val="28"/>
                <w:szCs w:val="28"/>
              </w:rPr>
              <w:t>-рисков</w:t>
            </w:r>
          </w:p>
        </w:tc>
      </w:tr>
      <w:tr w:rsidR="00E8092F" w:rsidRPr="00FE7D12" w:rsidTr="00AB1D4A">
        <w:trPr>
          <w:trHeight w:val="1304"/>
        </w:trPr>
        <w:tc>
          <w:tcPr>
            <w:tcW w:w="656" w:type="dxa"/>
          </w:tcPr>
          <w:p w:rsidR="00F47CED" w:rsidRPr="00FE7D12" w:rsidRDefault="008D19C3" w:rsidP="00F47CED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F47CED" w:rsidRPr="00FE7D12" w:rsidRDefault="00F47CED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F47CED" w:rsidRPr="00FE7D12" w:rsidRDefault="00AB1D4A" w:rsidP="00C179F5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проведение анализа проектов нормативных правовых актов администрации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Пировского муниципального округа (далее администрация)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рамках правовой экспертизы проектов нормативных правовых актов администрации и в случае выявления в проекте нормативного правового акта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ведется подготовка заключения о наличии указанных положений и направление такого заключения в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отдел 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экономики</w:t>
            </w:r>
          </w:p>
        </w:tc>
        <w:tc>
          <w:tcPr>
            <w:tcW w:w="4423" w:type="dxa"/>
          </w:tcPr>
          <w:p w:rsidR="00F47CED" w:rsidRPr="00FE7D12" w:rsidRDefault="00AB1D4A" w:rsidP="00AB1D4A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 проектов нормативных правовых актов администрации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(далее - НПА)</w:t>
            </w:r>
          </w:p>
        </w:tc>
        <w:tc>
          <w:tcPr>
            <w:tcW w:w="1887" w:type="dxa"/>
          </w:tcPr>
          <w:p w:rsidR="00F47CED" w:rsidRPr="00FE7D12" w:rsidRDefault="00AB1D4A" w:rsidP="00DF7B66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мере поступления проектов НПА в отдел экономики, отдел юридической и кадровой работы</w:t>
            </w:r>
          </w:p>
        </w:tc>
        <w:tc>
          <w:tcPr>
            <w:tcW w:w="3435" w:type="dxa"/>
          </w:tcPr>
          <w:p w:rsidR="00F47CED" w:rsidRPr="00FE7D12" w:rsidRDefault="0055557F" w:rsidP="00DF7B66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D4A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B1D4A" w:rsidRPr="00FE7D12" w:rsidRDefault="0055557F" w:rsidP="00AB1D4A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D4A" w:rsidRPr="00FE7D12">
              <w:rPr>
                <w:rFonts w:ascii="Times New Roman" w:hAnsi="Times New Roman" w:cs="Times New Roman"/>
                <w:sz w:val="28"/>
                <w:szCs w:val="28"/>
              </w:rPr>
              <w:t>тдел правовой и кадровой работы</w:t>
            </w:r>
          </w:p>
          <w:p w:rsidR="00AB1D4A" w:rsidRPr="00FE7D12" w:rsidRDefault="0055557F" w:rsidP="00DF7B66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</w:rPr>
              <w:t>тделы администрации Пировского округа</w:t>
            </w:r>
          </w:p>
        </w:tc>
      </w:tr>
      <w:tr w:rsidR="00E8092F" w:rsidRPr="00FE7D12" w:rsidTr="00AB1D4A">
        <w:trPr>
          <w:trHeight w:val="1032"/>
        </w:trPr>
        <w:tc>
          <w:tcPr>
            <w:tcW w:w="656" w:type="dxa"/>
          </w:tcPr>
          <w:p w:rsidR="00F47CED" w:rsidRPr="00FE7D12" w:rsidRDefault="00DF7B66" w:rsidP="00F47CED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F47CED" w:rsidRPr="00FE7D12" w:rsidRDefault="00F47CED" w:rsidP="00F47CED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ED" w:rsidRPr="00FE7D12" w:rsidRDefault="00F47CED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F47CED" w:rsidRPr="00FE7D12" w:rsidRDefault="00C179F5" w:rsidP="00C179F5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- проведение анализа нормативных правовых актов администрации Пировского муниципального округа (далее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администрация) в рамках правовой экспертизы нормативных правовых актов администрации и в случае выявления в проекте нормативного правового акта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ведется подготовка заключения о наличии указанных положений и направление такого заключения в отдел экономики</w:t>
            </w:r>
            <w:proofErr w:type="gramEnd"/>
          </w:p>
        </w:tc>
        <w:tc>
          <w:tcPr>
            <w:tcW w:w="4423" w:type="dxa"/>
          </w:tcPr>
          <w:p w:rsidR="00C179F5" w:rsidRPr="00FE7D12" w:rsidRDefault="00C179F5" w:rsidP="009B14E0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Анализ НПА администрации</w:t>
            </w:r>
          </w:p>
          <w:p w:rsidR="00C179F5" w:rsidRPr="00FE7D12" w:rsidRDefault="00C179F5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F5" w:rsidRPr="00FE7D12" w:rsidRDefault="00C179F5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F5" w:rsidRPr="00FE7D12" w:rsidRDefault="00C179F5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F5" w:rsidRPr="00FE7D12" w:rsidRDefault="00C179F5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ED" w:rsidRPr="00FE7D12" w:rsidRDefault="00C179F5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размещение на официальном сайте администрации в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информационно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телекоммуникационной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сети «Интернет» исчерпывающего перечня нормативных правовых актов администрации, за исключением актов, содержащих сведения, относящиеся к охраняемой законом тайне</w:t>
            </w:r>
          </w:p>
        </w:tc>
        <w:tc>
          <w:tcPr>
            <w:tcW w:w="1887" w:type="dxa"/>
          </w:tcPr>
          <w:p w:rsidR="00C179F5" w:rsidRPr="00FE7D12" w:rsidRDefault="00C179F5" w:rsidP="00C179F5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по мере поступления НПА </w:t>
            </w:r>
          </w:p>
          <w:p w:rsidR="00C179F5" w:rsidRPr="00FE7D12" w:rsidRDefault="00C179F5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F5" w:rsidRPr="00FE7D12" w:rsidRDefault="00C179F5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F5" w:rsidRPr="00FE7D12" w:rsidRDefault="00C179F5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5" w:type="dxa"/>
          </w:tcPr>
          <w:p w:rsidR="00C179F5" w:rsidRPr="00FE7D12" w:rsidRDefault="0055557F" w:rsidP="00C179F5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</w:p>
          <w:p w:rsidR="00C179F5" w:rsidRPr="00FE7D12" w:rsidRDefault="0055557F" w:rsidP="00C179F5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</w:rPr>
              <w:t>тдел правовой и кадровой работы</w:t>
            </w:r>
          </w:p>
          <w:p w:rsidR="00C179F5" w:rsidRPr="00FE7D12" w:rsidRDefault="0055557F" w:rsidP="00C179F5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тделы администрации 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Пировского округа </w:t>
            </w:r>
          </w:p>
          <w:p w:rsidR="00C179F5" w:rsidRPr="00FE7D12" w:rsidRDefault="00C179F5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ED" w:rsidRPr="00FE7D12" w:rsidRDefault="0055557F" w:rsidP="00C1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79F5" w:rsidRPr="00FE7D12">
              <w:rPr>
                <w:rFonts w:ascii="Times New Roman" w:hAnsi="Times New Roman" w:cs="Times New Roman"/>
                <w:sz w:val="28"/>
                <w:szCs w:val="28"/>
              </w:rPr>
              <w:t>бщий отдел администрации</w:t>
            </w:r>
          </w:p>
        </w:tc>
      </w:tr>
      <w:tr w:rsidR="00E8092F" w:rsidRPr="00FE7D12" w:rsidTr="002B1E78">
        <w:trPr>
          <w:trHeight w:val="4389"/>
        </w:trPr>
        <w:tc>
          <w:tcPr>
            <w:tcW w:w="656" w:type="dxa"/>
          </w:tcPr>
          <w:p w:rsidR="00F47CED" w:rsidRPr="00FE7D12" w:rsidRDefault="009B14E0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007" w:type="dxa"/>
          </w:tcPr>
          <w:p w:rsidR="009B14E0" w:rsidRPr="00FE7D12" w:rsidRDefault="005C0AFA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проведение мониторинга и анализа практики применения администрацией антимонопольного законодательства, в том числе путем сбора сведений, представленных отделами администрации, о правоприменительной практике антимонопольного законодательства в администрации</w:t>
            </w:r>
          </w:p>
          <w:p w:rsidR="00F47CED" w:rsidRPr="00FE7D12" w:rsidRDefault="00F47CED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5C0AFA" w:rsidRPr="00FE7D12" w:rsidRDefault="005C0AFA" w:rsidP="005C0AFA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Мониторинг и анализ практики применения администрацией антимонопольного законодательства </w:t>
            </w:r>
          </w:p>
          <w:p w:rsidR="005C0AFA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AFA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ED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представление в отдел экономики сведений о правоприменительной практике антимонопольного законодательства, содержащих информацию о практике применения антимонопольного законодательства администрацией</w:t>
            </w:r>
          </w:p>
        </w:tc>
        <w:tc>
          <w:tcPr>
            <w:tcW w:w="1887" w:type="dxa"/>
          </w:tcPr>
          <w:p w:rsidR="005C0AFA" w:rsidRPr="00FE7D12" w:rsidRDefault="00B167B2" w:rsidP="005C0AFA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CCF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5C0AFA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AFA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AFA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ED" w:rsidRPr="00FE7D12" w:rsidRDefault="00B167B2" w:rsidP="00B1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0AFA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35" w:type="dxa"/>
          </w:tcPr>
          <w:p w:rsidR="005C0AFA" w:rsidRPr="00FE7D12" w:rsidRDefault="0055557F" w:rsidP="005C0AFA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0AFA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</w:p>
          <w:p w:rsidR="005C0AFA" w:rsidRPr="00FE7D12" w:rsidRDefault="005C0AFA" w:rsidP="005C0AFA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AFA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AFA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AFA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AFA" w:rsidRPr="00FE7D12" w:rsidRDefault="0055557F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0AFA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тделы администрации Пировского округа </w:t>
            </w:r>
          </w:p>
          <w:p w:rsidR="00F47CED" w:rsidRPr="00FE7D12" w:rsidRDefault="00F47CED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2F" w:rsidRPr="00FE7D12" w:rsidTr="00AB1D4A">
        <w:trPr>
          <w:trHeight w:val="406"/>
        </w:trPr>
        <w:tc>
          <w:tcPr>
            <w:tcW w:w="656" w:type="dxa"/>
          </w:tcPr>
          <w:p w:rsidR="00F47CED" w:rsidRPr="00FE7D12" w:rsidRDefault="00030CCF" w:rsidP="0003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007" w:type="dxa"/>
          </w:tcPr>
          <w:p w:rsidR="009B14E0" w:rsidRPr="00FE7D12" w:rsidRDefault="005C0AFA" w:rsidP="005C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представление в отдел экономики, отдел правовой и кадровой работы информации о судебных решениях, участником которых являлась администрация</w:t>
            </w:r>
          </w:p>
        </w:tc>
        <w:tc>
          <w:tcPr>
            <w:tcW w:w="4423" w:type="dxa"/>
          </w:tcPr>
          <w:p w:rsidR="00E876AE" w:rsidRPr="00FE7D12" w:rsidRDefault="002B1E78" w:rsidP="005C0AFA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="005C0AFA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ониторинг и анализ судебных решений по антимонопольным делам, участником которых являлась администрация, в целях подготовки обзора судебной практики по таким антимонопольным делам</w:t>
            </w:r>
            <w:r w:rsidR="005C0AFA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D5E" w:rsidRPr="00FE7D12" w:rsidRDefault="00610D5E" w:rsidP="005C0AFA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5E" w:rsidRPr="00FE7D12" w:rsidRDefault="00610D5E" w:rsidP="00610D5E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анализа судебных решений, представление в отдел экономики обзора судебной практики по антимонопольным делам, участником которых являлась администрация</w:t>
            </w:r>
          </w:p>
        </w:tc>
        <w:tc>
          <w:tcPr>
            <w:tcW w:w="1887" w:type="dxa"/>
          </w:tcPr>
          <w:p w:rsidR="00F47CED" w:rsidRPr="00FE7D12" w:rsidRDefault="002B1E78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CCF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0CCF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35" w:type="dxa"/>
          </w:tcPr>
          <w:p w:rsidR="00030CCF" w:rsidRPr="00FE7D12" w:rsidRDefault="0055557F" w:rsidP="00030CCF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0AFA" w:rsidRPr="00FE7D12">
              <w:rPr>
                <w:rFonts w:ascii="Times New Roman" w:hAnsi="Times New Roman" w:cs="Times New Roman"/>
                <w:sz w:val="28"/>
                <w:szCs w:val="28"/>
              </w:rPr>
              <w:t>тделы</w:t>
            </w:r>
            <w:r w:rsidR="00610D5E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CCF" w:rsidRPr="00FE7D12"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</w:t>
            </w:r>
          </w:p>
          <w:p w:rsidR="00F47CED" w:rsidRPr="00FE7D12" w:rsidRDefault="00F47CED" w:rsidP="005C0A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2F" w:rsidRPr="00FE7D12" w:rsidTr="00AB1D4A">
        <w:trPr>
          <w:trHeight w:val="495"/>
        </w:trPr>
        <w:tc>
          <w:tcPr>
            <w:tcW w:w="656" w:type="dxa"/>
          </w:tcPr>
          <w:p w:rsidR="00030CCF" w:rsidRPr="00FE7D12" w:rsidRDefault="00030CCF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E0" w:rsidRPr="00FE7D12" w:rsidRDefault="00030CCF" w:rsidP="0003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007" w:type="dxa"/>
          </w:tcPr>
          <w:p w:rsidR="009B14E0" w:rsidRPr="00FE7D12" w:rsidRDefault="00610D5E" w:rsidP="00610D5E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выявление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-рисков на основании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пп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1.1, 1.2, 1.3, 1.4 настоящего плана. В случае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если в ходе выявления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-рисков обнаружены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своих функций, информация об указанных фактах и подтверждающие их материалы подлежат передаче Главе округа</w:t>
            </w:r>
          </w:p>
        </w:tc>
        <w:tc>
          <w:tcPr>
            <w:tcW w:w="4423" w:type="dxa"/>
          </w:tcPr>
          <w:p w:rsidR="009B14E0" w:rsidRPr="00FE7D12" w:rsidRDefault="002B1E78" w:rsidP="00030CCF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610D5E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ыявление и оценка рисков нарушения администрацией антимонопольного законодательства.</w:t>
            </w:r>
            <w:r w:rsidR="00610D5E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6AE" w:rsidRPr="00FE7D12" w:rsidRDefault="00E876AE" w:rsidP="00030CCF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9B14E0" w:rsidRPr="00FE7D12" w:rsidRDefault="002B1E78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76AE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76AE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35" w:type="dxa"/>
          </w:tcPr>
          <w:p w:rsidR="009B14E0" w:rsidRPr="00FE7D12" w:rsidRDefault="002B1E78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76AE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округа</w:t>
            </w:r>
          </w:p>
        </w:tc>
      </w:tr>
      <w:tr w:rsidR="00E8092F" w:rsidRPr="00FE7D12" w:rsidTr="00AB1D4A">
        <w:trPr>
          <w:trHeight w:val="605"/>
        </w:trPr>
        <w:tc>
          <w:tcPr>
            <w:tcW w:w="656" w:type="dxa"/>
          </w:tcPr>
          <w:p w:rsidR="009B14E0" w:rsidRPr="00FE7D12" w:rsidRDefault="00E876AE" w:rsidP="00E8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007" w:type="dxa"/>
          </w:tcPr>
          <w:p w:rsidR="009B14E0" w:rsidRPr="00FE7D12" w:rsidRDefault="00610D5E" w:rsidP="009B14E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-организация и проведение совещания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учебно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методического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характера муниципальных служащих администрации в целях их ознакомления с требованиями антимонопольного законодательства и антимонопольного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комплаенса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4E0" w:rsidRPr="00FE7D12" w:rsidRDefault="009B14E0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610D5E" w:rsidRPr="00FE7D12" w:rsidRDefault="002B1E78" w:rsidP="002B1E78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="00610D5E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роведение обучения требованиям антимонопольного законодательства и антимонопольного </w:t>
            </w:r>
            <w:proofErr w:type="spellStart"/>
            <w:r w:rsidR="00610D5E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комплаенса</w:t>
            </w:r>
            <w:proofErr w:type="spellEnd"/>
            <w:r w:rsidR="00610D5E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муниципальных служащих администрации</w:t>
            </w:r>
          </w:p>
          <w:p w:rsidR="00610D5E" w:rsidRPr="00FE7D12" w:rsidRDefault="00610D5E" w:rsidP="002B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78" w:rsidRPr="00FE7D12" w:rsidRDefault="002B1E78" w:rsidP="002B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6AE" w:rsidRPr="00FE7D12" w:rsidRDefault="00610D5E" w:rsidP="002B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подготовка информационных сообщений в случаях изменения антимонопольного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законодательства, правового акта об антимонопольном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комплаенсе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а также в случае выявления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-рисков в деятельности администрации и их доведения до специалистов администрации в рамках проведения целевого инструктажа</w:t>
            </w:r>
            <w:proofErr w:type="gramEnd"/>
          </w:p>
        </w:tc>
        <w:tc>
          <w:tcPr>
            <w:tcW w:w="1887" w:type="dxa"/>
          </w:tcPr>
          <w:p w:rsidR="00610D5E" w:rsidRPr="00FE7D12" w:rsidRDefault="00610D5E" w:rsidP="00610D5E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2B1E78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610D5E" w:rsidRPr="00FE7D12" w:rsidRDefault="00610D5E" w:rsidP="0061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5E" w:rsidRPr="00FE7D12" w:rsidRDefault="00610D5E" w:rsidP="0061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5E" w:rsidRPr="00FE7D12" w:rsidRDefault="00610D5E" w:rsidP="0061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78" w:rsidRPr="00FE7D12" w:rsidRDefault="002B1E78" w:rsidP="0061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2B1E7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B14E0" w:rsidRPr="00FE7D12" w:rsidRDefault="00610D5E" w:rsidP="002B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течени</w:t>
            </w:r>
            <w:r w:rsidR="002B1E7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 по мере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возникновения оснований для проведения целевого инструктажа</w:t>
            </w:r>
          </w:p>
        </w:tc>
        <w:tc>
          <w:tcPr>
            <w:tcW w:w="3435" w:type="dxa"/>
          </w:tcPr>
          <w:p w:rsidR="009B14E0" w:rsidRPr="00FE7D12" w:rsidRDefault="002B1E78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E876AE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округа</w:t>
            </w:r>
          </w:p>
          <w:p w:rsidR="00610D5E" w:rsidRPr="00FE7D12" w:rsidRDefault="002B1E78" w:rsidP="00610D5E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0D5E" w:rsidRPr="00FE7D12">
              <w:rPr>
                <w:rFonts w:ascii="Times New Roman" w:hAnsi="Times New Roman" w:cs="Times New Roman"/>
                <w:sz w:val="28"/>
                <w:szCs w:val="28"/>
              </w:rPr>
              <w:t>тдел правовой и кадровой работы</w:t>
            </w:r>
          </w:p>
          <w:p w:rsidR="002B1E78" w:rsidRPr="00FE7D12" w:rsidRDefault="002B1E78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78" w:rsidRPr="00FE7D12" w:rsidRDefault="002B1E78" w:rsidP="002B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2B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78" w:rsidRPr="00FE7D12" w:rsidRDefault="002B1E78" w:rsidP="002B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округа</w:t>
            </w:r>
          </w:p>
          <w:p w:rsidR="002B1E78" w:rsidRPr="00FE7D12" w:rsidRDefault="002B1E78" w:rsidP="002B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правовой и кадровой работы</w:t>
            </w:r>
          </w:p>
          <w:p w:rsidR="00610D5E" w:rsidRPr="00FE7D12" w:rsidRDefault="00610D5E" w:rsidP="002B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2F" w:rsidRPr="00FE7D12" w:rsidTr="00AB1D4A">
        <w:trPr>
          <w:trHeight w:val="600"/>
        </w:trPr>
        <w:tc>
          <w:tcPr>
            <w:tcW w:w="656" w:type="dxa"/>
          </w:tcPr>
          <w:p w:rsidR="009B14E0" w:rsidRPr="00FE7D12" w:rsidRDefault="00E876AE" w:rsidP="00E8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007" w:type="dxa"/>
          </w:tcPr>
          <w:p w:rsidR="009B14E0" w:rsidRPr="00FE7D12" w:rsidRDefault="002B1E78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разработка и утверждение ключевых показателей для отдела предпринимательства, как уполномоченного подразделения администрации, осуществляющего организацию и функционирование в администрации антимонопольного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комплаенса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а также 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контроля за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его исполнением.</w:t>
            </w:r>
          </w:p>
        </w:tc>
        <w:tc>
          <w:tcPr>
            <w:tcW w:w="4423" w:type="dxa"/>
          </w:tcPr>
          <w:p w:rsidR="00E876AE" w:rsidRPr="00FE7D12" w:rsidRDefault="002B1E78" w:rsidP="00E876AE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Оценка достижения ключевых показателей и оценка эффективности функционирования антимонопольного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комплаенса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AE3" w:rsidRPr="00FE7D12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6D6AE3" w:rsidRPr="00FE7D12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6D6AE3" w:rsidRPr="00FE7D12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осуществление 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оценки достижения ключевых показателей эффективности функционирования антимонопольного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комплаенса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администрации в соответствии с Методикой расчета ключевых показателей эффективности функционирования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антимонопольного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комплаенса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</w:p>
          <w:p w:rsidR="006D6AE3" w:rsidRPr="00FE7D12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6D6AE3" w:rsidRPr="00FE7D12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6D6AE3" w:rsidRPr="00FE7D12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обеспечение рассмотрения на заседании коллегиального 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органа оценки достижения ключевых показателей эффективности функционирования антимонопольного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комплаенса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администрации</w:t>
            </w:r>
          </w:p>
          <w:p w:rsidR="006D6AE3" w:rsidRPr="00FE7D12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6D6AE3" w:rsidRPr="00FE7D12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оценка коллегиальным органом при администрации эффективности организации и функционирования антимонопольного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комплаенса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администрации</w:t>
            </w:r>
          </w:p>
        </w:tc>
        <w:tc>
          <w:tcPr>
            <w:tcW w:w="1887" w:type="dxa"/>
          </w:tcPr>
          <w:p w:rsidR="009B14E0" w:rsidRPr="00FE7D12" w:rsidRDefault="00B167B2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  <w:r w:rsidR="006D6AE3" w:rsidRPr="00FE7D12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6D6AE3" w:rsidRPr="00FE7D12" w:rsidRDefault="006D6AE3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6D6AE3" w:rsidRPr="00FE7D12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6D6AE3" w:rsidRPr="00FE7D12" w:rsidRDefault="006D6AE3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2B1E7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B167B2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6D6AE3" w:rsidRPr="00FE7D12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605B65" w:rsidRPr="00FE7D12" w:rsidRDefault="00605B65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05B65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B167B2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605B65" w:rsidRPr="00FE7D12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605B65" w:rsidRPr="00FE7D12" w:rsidRDefault="00605B65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6D6AE3" w:rsidRPr="00FE7D12" w:rsidRDefault="002B1E78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E876AE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</w:p>
          <w:p w:rsidR="009B14E0" w:rsidRPr="00FE7D12" w:rsidRDefault="009B14E0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</w:t>
            </w: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E3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D6AE3" w:rsidP="006D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605B6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167B2" w:rsidRDefault="00B167B2" w:rsidP="00605B6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167B2" w:rsidRDefault="00B167B2" w:rsidP="00605B6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167B2" w:rsidRDefault="00B167B2" w:rsidP="00605B6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6D6AE3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коллегиальный орган при администрации</w:t>
            </w:r>
          </w:p>
        </w:tc>
      </w:tr>
      <w:tr w:rsidR="00E8092F" w:rsidRPr="00FE7D12" w:rsidTr="00AB1D4A">
        <w:trPr>
          <w:trHeight w:val="750"/>
        </w:trPr>
        <w:tc>
          <w:tcPr>
            <w:tcW w:w="656" w:type="dxa"/>
          </w:tcPr>
          <w:p w:rsidR="00223D34" w:rsidRPr="00FE7D12" w:rsidRDefault="00223D34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E0" w:rsidRPr="00FE7D12" w:rsidRDefault="00223D34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007" w:type="dxa"/>
          </w:tcPr>
          <w:p w:rsidR="009B14E0" w:rsidRPr="00FE7D12" w:rsidRDefault="00605B65" w:rsidP="00B167B2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разработка проекта плана мероприятий («дорожной карты») по снижению рисков нарушения антимонопольного законодательства в администрации </w:t>
            </w:r>
            <w:r w:rsidR="002E5B4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очередной год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включение в него общих мероприятий по минимизации и устранению рисков нарушения антимонопольного законодательства, а также выявленных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—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рисков и мероприятий, необходимых для устранения</w:t>
            </w:r>
          </w:p>
        </w:tc>
        <w:tc>
          <w:tcPr>
            <w:tcW w:w="4423" w:type="dxa"/>
          </w:tcPr>
          <w:p w:rsidR="00605B65" w:rsidRPr="00FE7D12" w:rsidRDefault="00605B65" w:rsidP="00605B65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разработка и утверждение плана мероприятий («дорожной карты») по снижению рисков нарушения антимонопольного законодательства в администрации </w:t>
            </w:r>
            <w:r w:rsidR="002E5B4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очередной год</w:t>
            </w: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E0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обеспечение рассмотрения на заседании </w:t>
            </w:r>
            <w:r w:rsidR="00B7238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коллегиального органа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при </w:t>
            </w:r>
            <w:r w:rsidR="00B7238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плана мероприятий («дорожной карты»)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 снижению рисков нарушения антимонопольного законодательства</w:t>
            </w:r>
          </w:p>
          <w:p w:rsidR="00605B65" w:rsidRPr="00FE7D12" w:rsidRDefault="00B167B2" w:rsidP="00605B6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605B6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рассмотрение плана мероприятий («дорожной карты») по снижению рисков нарушения антимонопольного законодательства на заседании коллегиального органа при администрации</w:t>
            </w: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представление для утверждения Главе округа плана мероприятий («дорожной карты») по снижению рисков нарушения антимонопольного законодательства в администрации на </w:t>
            </w:r>
            <w:r w:rsidR="002E5B4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очередной год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после согласования </w:t>
            </w:r>
            <w:r w:rsidR="004643FB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оллегиальным органом</w:t>
            </w: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605B65" w:rsidRPr="00FE7D12" w:rsidRDefault="00B167B2" w:rsidP="00605B65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  <w:r w:rsidR="00605B65" w:rsidRPr="00FE7D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3D34" w:rsidRPr="00FE7D12">
              <w:rPr>
                <w:rFonts w:ascii="Times New Roman" w:hAnsi="Times New Roman" w:cs="Times New Roman"/>
                <w:sz w:val="28"/>
                <w:szCs w:val="28"/>
              </w:rPr>
              <w:t>о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E0" w:rsidRPr="00FE7D12" w:rsidRDefault="00B167B2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proofErr w:type="spellStart"/>
            <w:proofErr w:type="gramStart"/>
            <w:r w:rsidR="00605B65" w:rsidRPr="00FE7D1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proofErr w:type="gramEnd"/>
            <w:r w:rsidR="00605B65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B65" w:rsidRPr="00FE7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B167B2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605B65" w:rsidRPr="00FE7D12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85" w:rsidRPr="00FE7D12" w:rsidRDefault="00B72385" w:rsidP="00B7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85" w:rsidRPr="00FE7D12" w:rsidRDefault="00B72385" w:rsidP="00B7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05B65" w:rsidP="00B7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85" w:rsidRPr="00FE7D12" w:rsidRDefault="00B167B2" w:rsidP="00B1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B72385" w:rsidRPr="00FE7D12">
              <w:rPr>
                <w:rFonts w:ascii="Times New Roman" w:hAnsi="Times New Roman" w:cs="Times New Roman"/>
                <w:sz w:val="28"/>
                <w:szCs w:val="28"/>
              </w:rPr>
              <w:t>до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3435" w:type="dxa"/>
          </w:tcPr>
          <w:p w:rsidR="00605B65" w:rsidRPr="00FE7D12" w:rsidRDefault="000A7220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223D34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округа</w:t>
            </w: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65" w:rsidRPr="00FE7D12" w:rsidRDefault="00605B6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E0" w:rsidRPr="00FE7D12" w:rsidRDefault="000A7220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5B65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округа</w:t>
            </w: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коллегиальный орган при администрации</w:t>
            </w: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B2" w:rsidRDefault="00B167B2" w:rsidP="00B7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85" w:rsidRPr="00FE7D12" w:rsidRDefault="000A7220" w:rsidP="00B7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2385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округа</w:t>
            </w:r>
          </w:p>
          <w:p w:rsidR="00B72385" w:rsidRPr="00FE7D12" w:rsidRDefault="00B72385" w:rsidP="0060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2F" w:rsidRPr="00FE7D12" w:rsidTr="00AB1D4A">
        <w:trPr>
          <w:trHeight w:val="555"/>
        </w:trPr>
        <w:tc>
          <w:tcPr>
            <w:tcW w:w="656" w:type="dxa"/>
          </w:tcPr>
          <w:p w:rsidR="009B14E0" w:rsidRPr="00FE7D12" w:rsidRDefault="00223D34" w:rsidP="0022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4007" w:type="dxa"/>
          </w:tcPr>
          <w:p w:rsidR="009B14E0" w:rsidRPr="00FE7D12" w:rsidRDefault="00B72385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разработка проекта доклада об 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антимонопольном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комплаенсе</w:t>
            </w:r>
            <w:proofErr w:type="spellEnd"/>
          </w:p>
          <w:p w:rsidR="004643FB" w:rsidRPr="00FE7D12" w:rsidRDefault="004643FB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72385" w:rsidRPr="00FE7D12" w:rsidRDefault="00B72385" w:rsidP="00B72385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обеспечение рассмотрения на заседании коллегиального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органа при администрации доклада 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антимонопольном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комплаенсе</w:t>
            </w:r>
            <w:proofErr w:type="spellEnd"/>
          </w:p>
          <w:p w:rsidR="004643FB" w:rsidRPr="00FE7D12" w:rsidRDefault="004643FB" w:rsidP="00B72385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643FB" w:rsidRPr="00FE7D12" w:rsidRDefault="004643FB" w:rsidP="004643FB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рассмотрение доклада 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антимонопольном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комплаенсе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заседании коллегиального органа при администрации</w:t>
            </w:r>
          </w:p>
        </w:tc>
        <w:tc>
          <w:tcPr>
            <w:tcW w:w="4423" w:type="dxa"/>
          </w:tcPr>
          <w:p w:rsidR="009B14E0" w:rsidRPr="00FE7D12" w:rsidRDefault="004643FB" w:rsidP="00B72385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р</w:t>
            </w:r>
            <w:r w:rsidR="00B7238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азработка и утверждение доклада об </w:t>
            </w:r>
            <w:proofErr w:type="gramStart"/>
            <w:r w:rsidR="00B7238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антимонопольном</w:t>
            </w:r>
            <w:proofErr w:type="gramEnd"/>
            <w:r w:rsidR="00B7238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7238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комплаенсе</w:t>
            </w:r>
            <w:proofErr w:type="spellEnd"/>
            <w:r w:rsidR="00B72385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 </w:t>
            </w:r>
            <w:r w:rsidR="002E5B4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отчетный год</w:t>
            </w:r>
          </w:p>
          <w:p w:rsidR="004643FB" w:rsidRPr="00FE7D12" w:rsidRDefault="004643FB" w:rsidP="00B72385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обеспечение рассмотрения на заседании коллегиального органа при администрации доклада 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антимонопольном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комплаенсе</w:t>
            </w:r>
            <w:proofErr w:type="spellEnd"/>
          </w:p>
          <w:p w:rsidR="004643FB" w:rsidRPr="00FE7D12" w:rsidRDefault="004643FB" w:rsidP="00B72385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643FB" w:rsidRPr="00FE7D12" w:rsidRDefault="004643FB" w:rsidP="004643FB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рассмотрение доклада 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антимонопольном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комплаенсе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заседании коллегиального органа при администрации</w:t>
            </w:r>
          </w:p>
          <w:p w:rsidR="00A45388" w:rsidRPr="00FE7D12" w:rsidRDefault="00A45388" w:rsidP="004643FB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A45388" w:rsidRPr="00FE7D12" w:rsidRDefault="00A45388" w:rsidP="004643FB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A45388" w:rsidRPr="00FE7D12" w:rsidRDefault="00A45388" w:rsidP="004643FB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предоставление для утверждения Главе округа проекта доклада об </w:t>
            </w:r>
            <w:proofErr w:type="gram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антимонопольном</w:t>
            </w:r>
            <w:proofErr w:type="gram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комплаенсе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после согласования коллегиальным органом</w:t>
            </w:r>
          </w:p>
          <w:p w:rsidR="00A45388" w:rsidRPr="00FE7D12" w:rsidRDefault="00A45388" w:rsidP="004643FB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4643FB" w:rsidRPr="00FE7D12" w:rsidRDefault="00CC26A2" w:rsidP="004643FB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2E5B47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3D34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643FB" w:rsidRPr="00FE7D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B4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4643FB" w:rsidRPr="00FE7D12" w:rsidRDefault="004643FB" w:rsidP="00464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FB" w:rsidRPr="00FE7D12" w:rsidRDefault="00CC26A2" w:rsidP="0046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43FB" w:rsidRPr="00FE7D12">
              <w:rPr>
                <w:rFonts w:ascii="Times New Roman" w:hAnsi="Times New Roman" w:cs="Times New Roman"/>
                <w:sz w:val="28"/>
                <w:szCs w:val="28"/>
              </w:rPr>
              <w:t>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4643FB" w:rsidRPr="00FE7D12" w:rsidRDefault="004643FB" w:rsidP="00464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FB" w:rsidRPr="00FE7D12" w:rsidRDefault="004643FB" w:rsidP="00464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6CE" w:rsidRDefault="001246CE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E0" w:rsidRPr="00FE7D12" w:rsidRDefault="00E8092F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45388" w:rsidRPr="00FE7D12" w:rsidRDefault="00A45388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88" w:rsidRPr="00FE7D12" w:rsidRDefault="00A45388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88" w:rsidRPr="00FE7D12" w:rsidRDefault="00A45388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88" w:rsidRPr="00FE7D12" w:rsidRDefault="00A45388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88" w:rsidRPr="00FE7D12" w:rsidRDefault="00E8092F" w:rsidP="00E8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435" w:type="dxa"/>
          </w:tcPr>
          <w:p w:rsidR="004643FB" w:rsidRPr="00FE7D12" w:rsidRDefault="000A7220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223D34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округа</w:t>
            </w:r>
          </w:p>
          <w:p w:rsidR="004643FB" w:rsidRPr="00FE7D12" w:rsidRDefault="004643FB" w:rsidP="00464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88" w:rsidRPr="00FE7D12" w:rsidRDefault="000A7220" w:rsidP="0046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3FB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округа</w:t>
            </w:r>
          </w:p>
          <w:p w:rsidR="00A45388" w:rsidRPr="00FE7D12" w:rsidRDefault="00A45388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88" w:rsidRPr="00FE7D12" w:rsidRDefault="00A45388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6CE" w:rsidRDefault="001246CE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E0" w:rsidRPr="00FE7D12" w:rsidRDefault="000A7220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округа</w:t>
            </w:r>
          </w:p>
          <w:p w:rsidR="00A45388" w:rsidRPr="00FE7D12" w:rsidRDefault="00A45388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88" w:rsidRPr="00FE7D12" w:rsidRDefault="00A45388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88" w:rsidRPr="00FE7D12" w:rsidRDefault="00A45388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92F" w:rsidRDefault="00E8092F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88" w:rsidRPr="00FE7D12" w:rsidRDefault="000A7220" w:rsidP="00A4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округа</w:t>
            </w:r>
          </w:p>
        </w:tc>
      </w:tr>
      <w:tr w:rsidR="00E8092F" w:rsidRPr="00FE7D12" w:rsidTr="00AB1D4A">
        <w:trPr>
          <w:trHeight w:val="780"/>
        </w:trPr>
        <w:tc>
          <w:tcPr>
            <w:tcW w:w="656" w:type="dxa"/>
          </w:tcPr>
          <w:p w:rsidR="009B14E0" w:rsidRPr="00FE7D12" w:rsidRDefault="00223D34" w:rsidP="00223D34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007" w:type="dxa"/>
          </w:tcPr>
          <w:p w:rsidR="009B14E0" w:rsidRPr="00FE7D12" w:rsidRDefault="00A45388" w:rsidP="00A45388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размещение на официальном сайте администрации в </w:t>
            </w:r>
            <w:proofErr w:type="spellStart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информационно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телекоммуникационной</w:t>
            </w:r>
            <w:proofErr w:type="spellEnd"/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сети «Интернет»</w:t>
            </w:r>
          </w:p>
        </w:tc>
        <w:tc>
          <w:tcPr>
            <w:tcW w:w="4423" w:type="dxa"/>
          </w:tcPr>
          <w:p w:rsidR="009B14E0" w:rsidRPr="00FE7D12" w:rsidRDefault="000A7220" w:rsidP="004B2B1F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азмещение на официальном сайте администрации в </w:t>
            </w:r>
            <w:proofErr w:type="spellStart"/>
            <w:r w:rsidR="00A4538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информационно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телекоммуникационной</w:t>
            </w:r>
            <w:proofErr w:type="spellEnd"/>
            <w:r w:rsidR="00A4538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сети «Интернет» доклада </w:t>
            </w:r>
            <w:proofErr w:type="gramStart"/>
            <w:r w:rsidR="00A4538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</w:t>
            </w:r>
            <w:proofErr w:type="gramEnd"/>
            <w:r w:rsidR="00A4538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антимонопольном </w:t>
            </w:r>
            <w:proofErr w:type="spellStart"/>
            <w:r w:rsidR="00A4538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комплаенсе</w:t>
            </w:r>
            <w:proofErr w:type="spellEnd"/>
            <w:r w:rsidR="00A45388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</w:tcPr>
          <w:p w:rsidR="009B14E0" w:rsidRPr="00FE7D12" w:rsidRDefault="00E8092F" w:rsidP="00E8092F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</w:rPr>
              <w:t>до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435" w:type="dxa"/>
          </w:tcPr>
          <w:p w:rsidR="004B2B1F" w:rsidRPr="00FE7D12" w:rsidRDefault="000A7220" w:rsidP="004B2B1F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  <w:p w:rsidR="009B14E0" w:rsidRPr="00FE7D12" w:rsidRDefault="009B14E0" w:rsidP="00870533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BE" w:rsidRPr="00FE7D12" w:rsidTr="00D410FB">
        <w:trPr>
          <w:trHeight w:val="450"/>
        </w:trPr>
        <w:tc>
          <w:tcPr>
            <w:tcW w:w="14408" w:type="dxa"/>
            <w:gridSpan w:val="5"/>
          </w:tcPr>
          <w:p w:rsidR="006A20BE" w:rsidRPr="00FE7D12" w:rsidRDefault="00A45388" w:rsidP="00A45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            2. </w:t>
            </w:r>
            <w:proofErr w:type="spellStart"/>
            <w:r w:rsidRPr="00FE7D1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Комплаенс</w:t>
            </w:r>
            <w:proofErr w:type="spellEnd"/>
            <w:r w:rsidRPr="00FE7D1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- риски администрации и мероприятия, необходимые для устранения выявленных </w:t>
            </w:r>
            <w:proofErr w:type="spellStart"/>
            <w:r w:rsidRPr="00FE7D1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комплаенс</w:t>
            </w:r>
            <w:proofErr w:type="spellEnd"/>
            <w:r w:rsidRPr="00FE7D1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- рисков</w:t>
            </w:r>
          </w:p>
        </w:tc>
      </w:tr>
      <w:tr w:rsidR="00E8092F" w:rsidRPr="00FE7D12" w:rsidTr="00AB1D4A">
        <w:trPr>
          <w:trHeight w:val="405"/>
        </w:trPr>
        <w:tc>
          <w:tcPr>
            <w:tcW w:w="656" w:type="dxa"/>
          </w:tcPr>
          <w:p w:rsidR="004B2B1F" w:rsidRPr="00FE7D12" w:rsidRDefault="006A20BE" w:rsidP="006A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07" w:type="dxa"/>
          </w:tcPr>
          <w:p w:rsidR="0001222A" w:rsidRPr="00FE7D12" w:rsidRDefault="00A45388" w:rsidP="00A45388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осуществление экспертизы проектов договоров, контрактов, соглашений администрации на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соответствие требованиям антимонопольного законодательства в рамках проведения правовой экспертизы таких проектов</w:t>
            </w: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:rsidR="004B2B1F" w:rsidRPr="00FE7D12" w:rsidRDefault="000A7220" w:rsidP="00A45388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арушение актов антимонопольного законодательства в результате заключения договоров, </w:t>
            </w:r>
            <w:r w:rsidR="00A45388"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контрактов, соглашений, которые приводят или могут привести к недопущению, ограничению, устранению конкуренции </w:t>
            </w:r>
          </w:p>
        </w:tc>
        <w:tc>
          <w:tcPr>
            <w:tcW w:w="1887" w:type="dxa"/>
          </w:tcPr>
          <w:p w:rsidR="004B2B1F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по мере поступления проектов в отдел </w:t>
            </w:r>
          </w:p>
        </w:tc>
        <w:tc>
          <w:tcPr>
            <w:tcW w:w="3435" w:type="dxa"/>
          </w:tcPr>
          <w:p w:rsidR="0001222A" w:rsidRPr="00FE7D12" w:rsidRDefault="000A7220" w:rsidP="004B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222A" w:rsidRPr="00FE7D12">
              <w:rPr>
                <w:rFonts w:ascii="Times New Roman" w:hAnsi="Times New Roman" w:cs="Times New Roman"/>
                <w:sz w:val="28"/>
                <w:szCs w:val="28"/>
              </w:rPr>
              <w:t>тдел правовой и кадровой работы</w:t>
            </w:r>
          </w:p>
          <w:p w:rsidR="004B2B1F" w:rsidRPr="00FE7D12" w:rsidRDefault="004B2B1F" w:rsidP="000A7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2F" w:rsidRPr="00FE7D12" w:rsidTr="00AB1D4A">
        <w:trPr>
          <w:trHeight w:val="270"/>
        </w:trPr>
        <w:tc>
          <w:tcPr>
            <w:tcW w:w="656" w:type="dxa"/>
          </w:tcPr>
          <w:p w:rsidR="004B2B1F" w:rsidRPr="00FE7D12" w:rsidRDefault="0001222A" w:rsidP="000122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07" w:type="dxa"/>
          </w:tcPr>
          <w:p w:rsidR="0001222A" w:rsidRPr="00FE7D12" w:rsidRDefault="000A7220" w:rsidP="000A7220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экспертиза проектов муниципальных контрактов на соответствие требованиям антимонопольного законодательства в рамках проведения правовой экспертизы таких проектов</w:t>
            </w: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220" w:rsidRPr="00FE7D12" w:rsidRDefault="000A7220" w:rsidP="000A7220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92F" w:rsidRDefault="00E8092F" w:rsidP="000A7220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анализ изменений, вносимых в законодательство о закупках, мониторинг и анализ практики применения антимонопольного законодательства при планировании и осуществлении закупок товаров, работ, услуг для обеспечения муниципальных нужд, учет результатов такого анализа при подготовке проектов документации о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закупках</w:t>
            </w:r>
          </w:p>
        </w:tc>
        <w:tc>
          <w:tcPr>
            <w:tcW w:w="4423" w:type="dxa"/>
          </w:tcPr>
          <w:p w:rsidR="004B2B1F" w:rsidRPr="00FE7D12" w:rsidRDefault="000A7220" w:rsidP="000A7220">
            <w:pPr>
              <w:tabs>
                <w:tab w:val="left" w:pos="4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нарушения актов антимонопольного законодательства при осуществлении закупок товаров, работ, услуг для обеспечения муниципальных нужд администрацией по Федеральному закону от 05.04.2013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№</w:t>
            </w: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887" w:type="dxa"/>
          </w:tcPr>
          <w:p w:rsidR="004B2B1F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222A" w:rsidRPr="00FE7D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 года</w:t>
            </w:r>
          </w:p>
          <w:p w:rsidR="000A7220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92F" w:rsidRDefault="00E8092F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A7220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  <w:p w:rsidR="000A7220" w:rsidRPr="00FE7D12" w:rsidRDefault="000A7220" w:rsidP="000A7220">
            <w:pPr>
              <w:tabs>
                <w:tab w:val="left" w:pos="4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01222A" w:rsidRPr="00FE7D12" w:rsidRDefault="000A7220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222A" w:rsidRPr="00FE7D12">
              <w:rPr>
                <w:rFonts w:ascii="Times New Roman" w:hAnsi="Times New Roman" w:cs="Times New Roman"/>
                <w:sz w:val="28"/>
                <w:szCs w:val="28"/>
              </w:rPr>
              <w:t>тдел правовой и кадровой работы</w:t>
            </w:r>
          </w:p>
          <w:p w:rsidR="000A7220" w:rsidRPr="00FE7D12" w:rsidRDefault="000A7220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92F" w:rsidRDefault="00E8092F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92F" w:rsidRDefault="00E8092F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0" w:rsidRPr="00FE7D12" w:rsidRDefault="000A7220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12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</w:p>
          <w:p w:rsidR="000A7220" w:rsidRPr="00FE7D12" w:rsidRDefault="000A7220" w:rsidP="0001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B1F" w:rsidRPr="00FE7D12" w:rsidRDefault="004B2B1F" w:rsidP="004B2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533" w:rsidRPr="00FE7D12" w:rsidRDefault="00870533" w:rsidP="00870533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A44E5D" w:rsidRPr="00FE7D12" w:rsidRDefault="00A44E5D" w:rsidP="00870533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A44E5D" w:rsidRPr="00FE7D12" w:rsidRDefault="00A44E5D" w:rsidP="00870533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A44E5D" w:rsidRPr="00FE7D12" w:rsidRDefault="00A44E5D" w:rsidP="00870533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D410FB" w:rsidRPr="00FE7D12" w:rsidRDefault="00D410FB" w:rsidP="00870533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305D7E" w:rsidRPr="00FE7D12" w:rsidRDefault="00305D7E" w:rsidP="00870533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  <w:sectPr w:rsidR="00305D7E" w:rsidRPr="00FE7D12" w:rsidSect="00AC180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246CE" w:rsidRPr="001C156C" w:rsidRDefault="00E85EF9" w:rsidP="001246CE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1246C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246CE">
        <w:rPr>
          <w:rFonts w:ascii="Arial" w:hAnsi="Arial" w:cs="Arial"/>
          <w:sz w:val="24"/>
          <w:szCs w:val="24"/>
        </w:rPr>
        <w:t xml:space="preserve">                                       </w:t>
      </w:r>
      <w:r w:rsidR="001246CE" w:rsidRPr="001C156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246CE">
        <w:rPr>
          <w:rFonts w:ascii="Times New Roman" w:hAnsi="Times New Roman" w:cs="Times New Roman"/>
          <w:sz w:val="28"/>
          <w:szCs w:val="28"/>
        </w:rPr>
        <w:t>2</w:t>
      </w:r>
    </w:p>
    <w:p w:rsidR="001246CE" w:rsidRPr="001C156C" w:rsidRDefault="001246CE" w:rsidP="001246CE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156C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Пировского муниципального </w:t>
      </w:r>
    </w:p>
    <w:p w:rsidR="001246CE" w:rsidRPr="001C156C" w:rsidRDefault="001246CE" w:rsidP="001246CE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156C">
        <w:rPr>
          <w:rFonts w:ascii="Times New Roman" w:hAnsi="Times New Roman" w:cs="Times New Roman"/>
          <w:sz w:val="28"/>
          <w:szCs w:val="28"/>
        </w:rPr>
        <w:t xml:space="preserve">округа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5C0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»января</w:t>
      </w:r>
      <w:r w:rsidRPr="001C156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156C">
        <w:rPr>
          <w:rFonts w:ascii="Times New Roman" w:hAnsi="Times New Roman" w:cs="Times New Roman"/>
          <w:sz w:val="28"/>
          <w:szCs w:val="28"/>
        </w:rPr>
        <w:t>г. №</w:t>
      </w:r>
      <w:r w:rsidR="00435C00">
        <w:rPr>
          <w:rFonts w:ascii="Times New Roman" w:hAnsi="Times New Roman" w:cs="Times New Roman"/>
          <w:sz w:val="28"/>
          <w:szCs w:val="28"/>
        </w:rPr>
        <w:t>28-п</w:t>
      </w:r>
    </w:p>
    <w:p w:rsidR="00050350" w:rsidRDefault="00050350" w:rsidP="00050350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050350" w:rsidRPr="001C156C" w:rsidRDefault="00050350" w:rsidP="000503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1C156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50350" w:rsidRPr="001C156C" w:rsidRDefault="00050350" w:rsidP="00050350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156C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Пировского муниципального </w:t>
      </w:r>
    </w:p>
    <w:p w:rsidR="001C156C" w:rsidRDefault="00050350" w:rsidP="00050350">
      <w:pPr>
        <w:tabs>
          <w:tab w:val="left" w:pos="118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C156C">
        <w:rPr>
          <w:rFonts w:ascii="Times New Roman" w:hAnsi="Times New Roman" w:cs="Times New Roman"/>
          <w:sz w:val="28"/>
          <w:szCs w:val="28"/>
        </w:rPr>
        <w:t>круга от 30 декабря 2020г. №382</w:t>
      </w:r>
    </w:p>
    <w:p w:rsidR="001C156C" w:rsidRPr="001C156C" w:rsidRDefault="001C156C" w:rsidP="005B64C2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1F231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1C156C" w:rsidRPr="001C156C" w:rsidRDefault="001C156C" w:rsidP="001C156C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56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C156C" w:rsidRPr="001C156C" w:rsidRDefault="001C156C" w:rsidP="001C156C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56C">
        <w:rPr>
          <w:rFonts w:ascii="Times New Roman" w:hAnsi="Times New Roman" w:cs="Times New Roman"/>
          <w:b/>
          <w:bCs/>
          <w:sz w:val="28"/>
          <w:szCs w:val="28"/>
        </w:rPr>
        <w:t>КЛЮЧЕВЫХ ПОКАЗАТЕЛЕЙ ЭФФЕКТИВНОСТИ ФУНКЦИОНИРОВАНИЯ</w:t>
      </w:r>
    </w:p>
    <w:p w:rsidR="001C156C" w:rsidRPr="001C156C" w:rsidRDefault="001C156C" w:rsidP="001C156C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56C">
        <w:rPr>
          <w:rFonts w:ascii="Times New Roman" w:hAnsi="Times New Roman" w:cs="Times New Roman"/>
          <w:b/>
          <w:bCs/>
          <w:sz w:val="28"/>
          <w:szCs w:val="28"/>
        </w:rPr>
        <w:t>В АДМИНИСТРАЦИИ ПИРОВСКОГО МУНИЦИПАЛЬНОГО ОКРУГА КРАСНОЯРСКОГО КРАЯ АНТИМОНОПОЛЬНОГО КОМПЛАЕНСА</w:t>
      </w:r>
    </w:p>
    <w:p w:rsidR="001C156C" w:rsidRPr="001C156C" w:rsidRDefault="001C156C" w:rsidP="001C156C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156C" w:rsidRDefault="001C156C" w:rsidP="001C156C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56C">
        <w:rPr>
          <w:rFonts w:ascii="Times New Roman" w:hAnsi="Times New Roman" w:cs="Times New Roman"/>
          <w:sz w:val="28"/>
          <w:szCs w:val="28"/>
        </w:rPr>
        <w:t xml:space="preserve">1. Ключевыми показателями эффективности функционирования антимонопольного </w:t>
      </w:r>
      <w:proofErr w:type="spellStart"/>
      <w:r w:rsidRPr="001C156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C156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D394F" w:rsidRPr="004D394F" w:rsidRDefault="004D394F" w:rsidP="004D394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4D394F">
        <w:rPr>
          <w:rFonts w:ascii="Times New Roman" w:hAnsi="Times New Roman" w:cs="Times New Roman"/>
          <w:sz w:val="28"/>
          <w:szCs w:val="28"/>
        </w:rPr>
        <w:t xml:space="preserve"> коэффициент снижения количества нарушений антимонопольного законодательства со стороны администрации Пировского муниципального округа Красноярского края за последние три года;</w:t>
      </w:r>
    </w:p>
    <w:p w:rsidR="004D394F" w:rsidRPr="004D394F" w:rsidRDefault="004D394F" w:rsidP="004D394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4D394F">
        <w:rPr>
          <w:rFonts w:ascii="Times New Roman" w:hAnsi="Times New Roman" w:cs="Times New Roman"/>
          <w:sz w:val="28"/>
          <w:szCs w:val="28"/>
        </w:rPr>
        <w:t xml:space="preserve"> коэффициент </w:t>
      </w:r>
      <w:proofErr w:type="gramStart"/>
      <w:r w:rsidRPr="004D394F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4D394F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администрации Пировского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 Красноярского края</w:t>
      </w:r>
      <w:r w:rsidRPr="004D394F">
        <w:rPr>
          <w:rFonts w:ascii="Times New Roman" w:hAnsi="Times New Roman" w:cs="Times New Roman"/>
          <w:sz w:val="28"/>
          <w:szCs w:val="28"/>
        </w:rPr>
        <w:t>;</w:t>
      </w:r>
    </w:p>
    <w:p w:rsidR="004D394F" w:rsidRPr="004D394F" w:rsidRDefault="004D394F" w:rsidP="004D394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D394F">
        <w:rPr>
          <w:rFonts w:ascii="Times New Roman" w:hAnsi="Times New Roman" w:cs="Times New Roman"/>
          <w:sz w:val="28"/>
          <w:szCs w:val="28"/>
        </w:rPr>
        <w:t xml:space="preserve"> коэффициент эффективности выявления нарушений антимонопольного законодательства в нормативных правовых актах администрации Пировского муниципального округа Красноярского края.</w:t>
      </w:r>
    </w:p>
    <w:p w:rsidR="001C156C" w:rsidRPr="001C156C" w:rsidRDefault="001C156C" w:rsidP="001C156C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56C">
        <w:rPr>
          <w:rFonts w:ascii="Times New Roman" w:hAnsi="Times New Roman" w:cs="Times New Roman"/>
          <w:sz w:val="28"/>
          <w:szCs w:val="28"/>
        </w:rPr>
        <w:t xml:space="preserve">2. Ключевые показатели эффективности функционирования антимонопольного </w:t>
      </w:r>
      <w:proofErr w:type="spellStart"/>
      <w:r w:rsidRPr="001C156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C156C">
        <w:rPr>
          <w:rFonts w:ascii="Times New Roman" w:hAnsi="Times New Roman" w:cs="Times New Roman"/>
          <w:sz w:val="28"/>
          <w:szCs w:val="28"/>
        </w:rPr>
        <w:t xml:space="preserve"> для лиц, уполномоченных на внедрение антимонопольного </w:t>
      </w:r>
      <w:proofErr w:type="spellStart"/>
      <w:r w:rsidRPr="001C156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C156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C15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156C">
        <w:rPr>
          <w:rFonts w:ascii="Times New Roman" w:hAnsi="Times New Roman" w:cs="Times New Roman"/>
          <w:sz w:val="28"/>
          <w:szCs w:val="28"/>
        </w:rPr>
        <w:t xml:space="preserve"> его исполнением в администрации Пировского муниципального округа Красноярского края:</w:t>
      </w:r>
    </w:p>
    <w:p w:rsidR="001C156C" w:rsidRPr="001C156C" w:rsidRDefault="001C156C" w:rsidP="001C156C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56C">
        <w:rPr>
          <w:rFonts w:ascii="Times New Roman" w:hAnsi="Times New Roman" w:cs="Times New Roman"/>
          <w:sz w:val="28"/>
          <w:szCs w:val="28"/>
        </w:rPr>
        <w:t xml:space="preserve">2.1. Доля специалистов администрации Пировского муниципального округа Красноярского края,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1C156C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1C156C">
        <w:rPr>
          <w:rFonts w:ascii="Times New Roman" w:hAnsi="Times New Roman" w:cs="Times New Roman"/>
          <w:sz w:val="28"/>
          <w:szCs w:val="28"/>
        </w:rPr>
        <w:t>.</w:t>
      </w:r>
    </w:p>
    <w:p w:rsidR="001C156C" w:rsidRDefault="001C156C" w:rsidP="001C156C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20E0" w:rsidRPr="00FE7D12" w:rsidRDefault="00BB20E0" w:rsidP="00BB20E0">
      <w:pPr>
        <w:tabs>
          <w:tab w:val="left" w:pos="118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FE7D12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BB20E0" w:rsidRPr="00FE7D12" w:rsidRDefault="00BB20E0" w:rsidP="00BB20E0">
      <w:pPr>
        <w:tabs>
          <w:tab w:val="left" w:pos="1185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7D1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к постановлению администрации Пировского  муниципального </w:t>
      </w:r>
    </w:p>
    <w:p w:rsidR="00050350" w:rsidRDefault="00BB20E0" w:rsidP="004D0E98">
      <w:pPr>
        <w:tabs>
          <w:tab w:val="left" w:pos="11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7D12">
        <w:rPr>
          <w:rFonts w:ascii="Times New Roman" w:hAnsi="Times New Roman" w:cs="Times New Roman"/>
          <w:bCs/>
          <w:sz w:val="28"/>
          <w:szCs w:val="28"/>
        </w:rPr>
        <w:t xml:space="preserve">округа от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D0E98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»января</w:t>
      </w:r>
      <w:r w:rsidRPr="00FE7D12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FE7D12">
        <w:rPr>
          <w:rFonts w:ascii="Times New Roman" w:hAnsi="Times New Roman" w:cs="Times New Roman"/>
          <w:bCs/>
          <w:sz w:val="28"/>
          <w:szCs w:val="28"/>
        </w:rPr>
        <w:t>г.</w:t>
      </w:r>
      <w:r w:rsidR="00050350" w:rsidRPr="004D0E9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="004D0E98" w:rsidRPr="004D0E98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4D0E98">
        <w:rPr>
          <w:rFonts w:ascii="Arial" w:hAnsi="Arial" w:cs="Arial"/>
          <w:sz w:val="28"/>
          <w:szCs w:val="28"/>
        </w:rPr>
        <w:t xml:space="preserve">    </w:t>
      </w:r>
    </w:p>
    <w:p w:rsidR="004D0E98" w:rsidRPr="004D0E98" w:rsidRDefault="004D0E98" w:rsidP="004D0E98">
      <w:pPr>
        <w:tabs>
          <w:tab w:val="left" w:pos="11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№28-п</w:t>
      </w:r>
      <w:bookmarkStart w:id="0" w:name="_GoBack"/>
      <w:bookmarkEnd w:id="0"/>
    </w:p>
    <w:p w:rsidR="00050350" w:rsidRPr="001C156C" w:rsidRDefault="00050350" w:rsidP="000503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50350" w:rsidRPr="001C156C" w:rsidRDefault="00050350" w:rsidP="00050350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156C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Пировского муниципального </w:t>
      </w:r>
    </w:p>
    <w:p w:rsidR="00E85EF9" w:rsidRPr="00FE7D12" w:rsidRDefault="00050350" w:rsidP="00050350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C156C">
        <w:rPr>
          <w:rFonts w:ascii="Times New Roman" w:hAnsi="Times New Roman" w:cs="Times New Roman"/>
          <w:sz w:val="28"/>
          <w:szCs w:val="28"/>
        </w:rPr>
        <w:t>округа от 30 декабря 2020г. №382</w:t>
      </w:r>
    </w:p>
    <w:p w:rsidR="00FF78C8" w:rsidRPr="00FE7D12" w:rsidRDefault="00FF78C8" w:rsidP="00E85EF9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D12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FF78C8" w:rsidRPr="00FE7D12" w:rsidRDefault="00FF78C8" w:rsidP="00E85EF9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D12">
        <w:rPr>
          <w:rFonts w:ascii="Times New Roman" w:hAnsi="Times New Roman" w:cs="Times New Roman"/>
          <w:b/>
          <w:bCs/>
          <w:sz w:val="28"/>
          <w:szCs w:val="28"/>
        </w:rPr>
        <w:t>РАСЧЕТА И ОЦЕНКИ КЛЮЧЕВЫХ ПОКАЗАТЕЛЕЙ ЭФФЕКТИВНОСТИ</w:t>
      </w:r>
    </w:p>
    <w:p w:rsidR="00FF78C8" w:rsidRPr="00FE7D12" w:rsidRDefault="00FF78C8" w:rsidP="00E85EF9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D12">
        <w:rPr>
          <w:rFonts w:ascii="Times New Roman" w:hAnsi="Times New Roman" w:cs="Times New Roman"/>
          <w:b/>
          <w:bCs/>
          <w:sz w:val="28"/>
          <w:szCs w:val="28"/>
        </w:rPr>
        <w:t>ФУНКЦИОНИРОВАНИЯ АНТИМОНОПОЛЬНОГО КОМПЛАЕНСА</w:t>
      </w:r>
    </w:p>
    <w:p w:rsidR="00FF78C8" w:rsidRPr="00FE7D12" w:rsidRDefault="00FF78C8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78C8" w:rsidRPr="00FE7D12" w:rsidRDefault="00FF78C8" w:rsidP="00E85EF9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D1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F78C8" w:rsidRPr="00FE7D12" w:rsidRDefault="00E85EF9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F78C8" w:rsidRPr="00FE7D12">
        <w:rPr>
          <w:rFonts w:ascii="Times New Roman" w:hAnsi="Times New Roman" w:cs="Times New Roman"/>
          <w:sz w:val="28"/>
          <w:szCs w:val="28"/>
        </w:rPr>
        <w:t xml:space="preserve">Настоящая Методика расчета и оценки ключевых показателей эффективности функционирования в </w:t>
      </w:r>
      <w:r w:rsidR="00EC6530" w:rsidRPr="00FE7D12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="00FF78C8" w:rsidRPr="00FE7D12">
        <w:rPr>
          <w:rFonts w:ascii="Times New Roman" w:hAnsi="Times New Roman" w:cs="Times New Roman"/>
          <w:sz w:val="28"/>
          <w:szCs w:val="28"/>
        </w:rPr>
        <w:t xml:space="preserve"> Красноярского края антимонопольного </w:t>
      </w:r>
      <w:proofErr w:type="spellStart"/>
      <w:r w:rsidR="00FF78C8" w:rsidRPr="00FE7D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F78C8" w:rsidRPr="00FE7D12">
        <w:rPr>
          <w:rFonts w:ascii="Times New Roman" w:hAnsi="Times New Roman" w:cs="Times New Roman"/>
          <w:sz w:val="28"/>
          <w:szCs w:val="28"/>
        </w:rPr>
        <w:t xml:space="preserve"> (далее - Методика, ключевые показатели) разработана с учетом </w:t>
      </w:r>
      <w:hyperlink r:id="rId9" w:history="1">
        <w:r w:rsidR="00FF78C8" w:rsidRPr="00FE7D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</w:t>
        </w:r>
      </w:hyperlink>
      <w:r w:rsidR="00FF78C8" w:rsidRPr="00FE7D12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</w:t>
      </w:r>
      <w:r w:rsidR="005B18AD">
        <w:rPr>
          <w:rFonts w:ascii="Times New Roman" w:hAnsi="Times New Roman" w:cs="Times New Roman"/>
          <w:sz w:val="28"/>
          <w:szCs w:val="28"/>
        </w:rPr>
        <w:t>27</w:t>
      </w:r>
      <w:r w:rsidR="00FF78C8" w:rsidRPr="00FE7D12">
        <w:rPr>
          <w:rFonts w:ascii="Times New Roman" w:hAnsi="Times New Roman" w:cs="Times New Roman"/>
          <w:sz w:val="28"/>
          <w:szCs w:val="28"/>
        </w:rPr>
        <w:t>.</w:t>
      </w:r>
      <w:r w:rsidR="005B18AD">
        <w:rPr>
          <w:rFonts w:ascii="Times New Roman" w:hAnsi="Times New Roman" w:cs="Times New Roman"/>
          <w:sz w:val="28"/>
          <w:szCs w:val="28"/>
        </w:rPr>
        <w:t>12</w:t>
      </w:r>
      <w:r w:rsidR="00FF78C8" w:rsidRPr="00FE7D12">
        <w:rPr>
          <w:rFonts w:ascii="Times New Roman" w:hAnsi="Times New Roman" w:cs="Times New Roman"/>
          <w:sz w:val="28"/>
          <w:szCs w:val="28"/>
        </w:rPr>
        <w:t>.20</w:t>
      </w:r>
      <w:r w:rsidR="005B18AD">
        <w:rPr>
          <w:rFonts w:ascii="Times New Roman" w:hAnsi="Times New Roman" w:cs="Times New Roman"/>
          <w:sz w:val="28"/>
          <w:szCs w:val="28"/>
        </w:rPr>
        <w:t>22</w:t>
      </w:r>
      <w:r w:rsidR="00FF78C8" w:rsidRPr="00FE7D12">
        <w:rPr>
          <w:rFonts w:ascii="Times New Roman" w:hAnsi="Times New Roman" w:cs="Times New Roman"/>
          <w:sz w:val="28"/>
          <w:szCs w:val="28"/>
        </w:rPr>
        <w:t xml:space="preserve"> </w:t>
      </w:r>
      <w:r w:rsidR="00EC6530" w:rsidRPr="00FE7D12">
        <w:rPr>
          <w:rFonts w:ascii="Times New Roman" w:hAnsi="Times New Roman" w:cs="Times New Roman"/>
          <w:sz w:val="28"/>
          <w:szCs w:val="28"/>
        </w:rPr>
        <w:t>№</w:t>
      </w:r>
      <w:r w:rsidR="00FF78C8" w:rsidRPr="00FE7D12">
        <w:rPr>
          <w:rFonts w:ascii="Times New Roman" w:hAnsi="Times New Roman" w:cs="Times New Roman"/>
          <w:sz w:val="28"/>
          <w:szCs w:val="28"/>
        </w:rPr>
        <w:t xml:space="preserve"> </w:t>
      </w:r>
      <w:r w:rsidR="005B18AD">
        <w:rPr>
          <w:rFonts w:ascii="Times New Roman" w:hAnsi="Times New Roman" w:cs="Times New Roman"/>
          <w:sz w:val="28"/>
          <w:szCs w:val="28"/>
        </w:rPr>
        <w:t>1034/22</w:t>
      </w:r>
      <w:r w:rsidR="00FF78C8" w:rsidRPr="00FE7D12">
        <w:rPr>
          <w:rFonts w:ascii="Times New Roman" w:hAnsi="Times New Roman" w:cs="Times New Roman"/>
          <w:sz w:val="28"/>
          <w:szCs w:val="28"/>
        </w:rPr>
        <w:t xml:space="preserve"> </w:t>
      </w:r>
      <w:r w:rsidR="00EC6530" w:rsidRPr="00FE7D12">
        <w:rPr>
          <w:rFonts w:ascii="Times New Roman" w:hAnsi="Times New Roman" w:cs="Times New Roman"/>
          <w:sz w:val="28"/>
          <w:szCs w:val="28"/>
        </w:rPr>
        <w:t>«</w:t>
      </w:r>
      <w:r w:rsidR="00FF78C8" w:rsidRPr="00FE7D12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FF78C8" w:rsidRPr="00FE7D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C6530" w:rsidRPr="00FE7D12">
        <w:rPr>
          <w:rFonts w:ascii="Times New Roman" w:hAnsi="Times New Roman" w:cs="Times New Roman"/>
          <w:sz w:val="28"/>
          <w:szCs w:val="28"/>
        </w:rPr>
        <w:t>»</w:t>
      </w:r>
      <w:r w:rsidR="00FF78C8" w:rsidRPr="00FE7D12">
        <w:rPr>
          <w:rFonts w:ascii="Times New Roman" w:hAnsi="Times New Roman" w:cs="Times New Roman"/>
          <w:sz w:val="28"/>
          <w:szCs w:val="28"/>
        </w:rPr>
        <w:t xml:space="preserve"> в целях оценки функционирования антимонопольного </w:t>
      </w:r>
      <w:proofErr w:type="spellStart"/>
      <w:r w:rsidR="00FF78C8" w:rsidRPr="00FE7D1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F78C8" w:rsidRPr="00FE7D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5EF9" w:rsidRPr="00FE7D12" w:rsidRDefault="00FF78C8" w:rsidP="00E85EF9">
      <w:pPr>
        <w:tabs>
          <w:tab w:val="left" w:pos="118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D12">
        <w:rPr>
          <w:rFonts w:ascii="Times New Roman" w:hAnsi="Times New Roman" w:cs="Times New Roman"/>
          <w:b/>
          <w:bCs/>
          <w:sz w:val="28"/>
          <w:szCs w:val="28"/>
        </w:rPr>
        <w:t>2. МЕТОДИКА РАСЧЕТА КЛЮЧЕВЫХ ПОКАЗАТЕЛЕЙ</w:t>
      </w:r>
    </w:p>
    <w:p w:rsidR="00FF78C8" w:rsidRPr="00FE7D12" w:rsidRDefault="00FF78C8" w:rsidP="00E85EF9">
      <w:pPr>
        <w:tabs>
          <w:tab w:val="left" w:pos="118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D12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</w:t>
      </w:r>
      <w:r w:rsidR="00E85EF9" w:rsidRPr="00FE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D12">
        <w:rPr>
          <w:rFonts w:ascii="Times New Roman" w:hAnsi="Times New Roman" w:cs="Times New Roman"/>
          <w:b/>
          <w:bCs/>
          <w:sz w:val="28"/>
          <w:szCs w:val="28"/>
        </w:rPr>
        <w:t>ФУНКЦИОНИРОВАНИЯ АНТИМОНОПОЛЬНОГО КОМПЛАЕНСА</w:t>
      </w:r>
    </w:p>
    <w:p w:rsidR="00FF78C8" w:rsidRPr="00FE7D12" w:rsidRDefault="00FF78C8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1E66" w:rsidRPr="00CD6993" w:rsidRDefault="00EC6530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 xml:space="preserve">      </w:t>
      </w:r>
      <w:r w:rsidR="00EF1E66" w:rsidRPr="00CD6993">
        <w:rPr>
          <w:rFonts w:ascii="Times New Roman" w:hAnsi="Times New Roman" w:cs="Times New Roman"/>
          <w:sz w:val="28"/>
          <w:szCs w:val="28"/>
        </w:rPr>
        <w:t>2.</w:t>
      </w:r>
      <w:r w:rsidR="00C64398">
        <w:rPr>
          <w:rFonts w:ascii="Times New Roman" w:hAnsi="Times New Roman" w:cs="Times New Roman"/>
          <w:sz w:val="28"/>
          <w:szCs w:val="28"/>
        </w:rPr>
        <w:t>1</w:t>
      </w:r>
      <w:r w:rsidR="00EF1E66" w:rsidRPr="00CD6993">
        <w:rPr>
          <w:rFonts w:ascii="Times New Roman" w:hAnsi="Times New Roman" w:cs="Times New Roman"/>
          <w:sz w:val="28"/>
          <w:szCs w:val="28"/>
        </w:rPr>
        <w:t xml:space="preserve">. Коэффициент снижения количества нарушений антимонопольного законодательства со стороны </w:t>
      </w:r>
      <w:r w:rsidR="00CD6993" w:rsidRPr="00CD6993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 Красноярского края</w:t>
      </w:r>
      <w:r w:rsidR="00EF1E66" w:rsidRPr="00CD6993">
        <w:rPr>
          <w:rFonts w:ascii="Times New Roman" w:hAnsi="Times New Roman" w:cs="Times New Roman"/>
          <w:sz w:val="28"/>
          <w:szCs w:val="28"/>
        </w:rPr>
        <w:t xml:space="preserve"> за последние три года рассчитывается по формуле:</w:t>
      </w:r>
    </w:p>
    <w:p w:rsidR="00EF1E66" w:rsidRPr="00CD6993" w:rsidRDefault="00EF1E66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E66" w:rsidRPr="00CD6993" w:rsidRDefault="00EF1E66" w:rsidP="00EF1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0AD27FF1" wp14:editId="4882EFD5">
            <wp:extent cx="1058545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93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EF1E66" w:rsidRPr="00CD6993" w:rsidRDefault="00EF1E66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E66" w:rsidRPr="00CD6993" w:rsidRDefault="00EF1E66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 w:rsidR="00CD6993" w:rsidRPr="00CD6993">
        <w:rPr>
          <w:rFonts w:ascii="Times New Roman" w:hAnsi="Times New Roman" w:cs="Times New Roman"/>
          <w:sz w:val="28"/>
          <w:szCs w:val="28"/>
        </w:rPr>
        <w:t>администрации Пировского муниципал</w:t>
      </w:r>
      <w:r w:rsidR="00CD6993">
        <w:rPr>
          <w:rFonts w:ascii="Times New Roman" w:hAnsi="Times New Roman" w:cs="Times New Roman"/>
          <w:sz w:val="28"/>
          <w:szCs w:val="28"/>
        </w:rPr>
        <w:t>ьного округа Красноярского края</w:t>
      </w:r>
      <w:r w:rsidRPr="00CD6993">
        <w:rPr>
          <w:rFonts w:ascii="Times New Roman" w:hAnsi="Times New Roman" w:cs="Times New Roman"/>
          <w:sz w:val="28"/>
          <w:szCs w:val="28"/>
        </w:rPr>
        <w:t>;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lastRenderedPageBreak/>
        <w:t xml:space="preserve">КНП - количество нарушений антимонопольного законодательства со стороны </w:t>
      </w:r>
      <w:r w:rsidR="00CD6993" w:rsidRPr="00CD6993">
        <w:rPr>
          <w:rFonts w:ascii="Times New Roman" w:hAnsi="Times New Roman" w:cs="Times New Roman"/>
          <w:sz w:val="28"/>
          <w:szCs w:val="28"/>
        </w:rPr>
        <w:t>администрации Пировского муниципал</w:t>
      </w:r>
      <w:r w:rsidR="00CD6993">
        <w:rPr>
          <w:rFonts w:ascii="Times New Roman" w:hAnsi="Times New Roman" w:cs="Times New Roman"/>
          <w:sz w:val="28"/>
          <w:szCs w:val="28"/>
        </w:rPr>
        <w:t>ьного округа Красноярского края</w:t>
      </w:r>
      <w:r w:rsidRPr="00CD6993">
        <w:rPr>
          <w:rFonts w:ascii="Times New Roman" w:hAnsi="Times New Roman" w:cs="Times New Roman"/>
          <w:sz w:val="28"/>
          <w:szCs w:val="28"/>
        </w:rPr>
        <w:t>, допущенных в отчетном периоде три года ранее;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993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CD6993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CD6993" w:rsidRPr="00CD6993">
        <w:rPr>
          <w:rFonts w:ascii="Times New Roman" w:hAnsi="Times New Roman" w:cs="Times New Roman"/>
          <w:sz w:val="28"/>
          <w:szCs w:val="28"/>
        </w:rPr>
        <w:t>администрации Пировского муниципал</w:t>
      </w:r>
      <w:r w:rsidR="00CD6993">
        <w:rPr>
          <w:rFonts w:ascii="Times New Roman" w:hAnsi="Times New Roman" w:cs="Times New Roman"/>
          <w:sz w:val="28"/>
          <w:szCs w:val="28"/>
        </w:rPr>
        <w:t>ьного округа Красноярского края</w:t>
      </w:r>
      <w:r w:rsidRPr="00CD6993">
        <w:rPr>
          <w:rFonts w:ascii="Times New Roman" w:hAnsi="Times New Roman" w:cs="Times New Roman"/>
          <w:sz w:val="28"/>
          <w:szCs w:val="28"/>
        </w:rPr>
        <w:t xml:space="preserve"> в отчетном периоде, за который рассчитывается ключевой показатель.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>Для целей расчета под отчетным периодом понимается календарный год.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6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993">
        <w:rPr>
          <w:rFonts w:ascii="Times New Roman" w:hAnsi="Times New Roman" w:cs="Times New Roman"/>
          <w:sz w:val="28"/>
          <w:szCs w:val="28"/>
        </w:rPr>
        <w:t xml:space="preserve">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 xml:space="preserve">При расчете </w:t>
      </w:r>
      <w:proofErr w:type="gramStart"/>
      <w:r w:rsidRPr="00CD6993">
        <w:rPr>
          <w:rFonts w:ascii="Times New Roman" w:hAnsi="Times New Roman" w:cs="Times New Roman"/>
          <w:sz w:val="28"/>
          <w:szCs w:val="28"/>
        </w:rPr>
        <w:t>показателя снижения количества нарушений антимонопольного законодательства</w:t>
      </w:r>
      <w:proofErr w:type="gramEnd"/>
      <w:r w:rsidRPr="00CD6993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CD6993" w:rsidRPr="00CD6993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</w:t>
      </w:r>
      <w:r w:rsidR="00CD6993">
        <w:rPr>
          <w:rFonts w:ascii="Times New Roman" w:hAnsi="Times New Roman" w:cs="Times New Roman"/>
          <w:sz w:val="28"/>
          <w:szCs w:val="28"/>
        </w:rPr>
        <w:t>руга Красноярского края</w:t>
      </w:r>
      <w:r w:rsidRPr="00CD6993">
        <w:rPr>
          <w:rFonts w:ascii="Times New Roman" w:hAnsi="Times New Roman" w:cs="Times New Roman"/>
          <w:sz w:val="28"/>
          <w:szCs w:val="28"/>
        </w:rPr>
        <w:t xml:space="preserve"> под нарушением антимонопольного законодательства со стороны </w:t>
      </w:r>
      <w:r w:rsidR="00CD6993" w:rsidRPr="00CD6993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 Красноярского края</w:t>
      </w:r>
      <w:r w:rsidRPr="00CD6993">
        <w:rPr>
          <w:rFonts w:ascii="Times New Roman" w:hAnsi="Times New Roman" w:cs="Times New Roman"/>
          <w:sz w:val="28"/>
          <w:szCs w:val="28"/>
        </w:rPr>
        <w:t>: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 xml:space="preserve">- решения по делу о нарушении антимонопольного законодательства, принятые антимонопольным органом в отношении </w:t>
      </w:r>
      <w:r w:rsidR="00CD6993" w:rsidRPr="00CD6993">
        <w:rPr>
          <w:rFonts w:ascii="Times New Roman" w:hAnsi="Times New Roman" w:cs="Times New Roman"/>
          <w:sz w:val="28"/>
          <w:szCs w:val="28"/>
        </w:rPr>
        <w:t>администрации Пировского муниципал</w:t>
      </w:r>
      <w:r w:rsidR="00CD6993">
        <w:rPr>
          <w:rFonts w:ascii="Times New Roman" w:hAnsi="Times New Roman" w:cs="Times New Roman"/>
          <w:sz w:val="28"/>
          <w:szCs w:val="28"/>
        </w:rPr>
        <w:t>ьного округа Красноярского края</w:t>
      </w:r>
      <w:r w:rsidRPr="00CD6993">
        <w:rPr>
          <w:rFonts w:ascii="Times New Roman" w:hAnsi="Times New Roman" w:cs="Times New Roman"/>
          <w:sz w:val="28"/>
          <w:szCs w:val="28"/>
        </w:rPr>
        <w:t>;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</w:t>
      </w:r>
      <w:r w:rsidR="00CD6993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Pr="00CD6993">
        <w:rPr>
          <w:rFonts w:ascii="Times New Roman" w:hAnsi="Times New Roman" w:cs="Times New Roman"/>
          <w:sz w:val="28"/>
          <w:szCs w:val="28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</w:t>
      </w:r>
      <w:r w:rsidR="00F31E67" w:rsidRPr="00F31E67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Pr="00CD6993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EF1E66" w:rsidRPr="00CD6993" w:rsidRDefault="00C64398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F1E66" w:rsidRPr="00CD6993">
        <w:rPr>
          <w:rFonts w:ascii="Times New Roman" w:hAnsi="Times New Roman" w:cs="Times New Roman"/>
          <w:sz w:val="28"/>
          <w:szCs w:val="28"/>
        </w:rPr>
        <w:t xml:space="preserve">.Коэффициент </w:t>
      </w:r>
      <w:proofErr w:type="gramStart"/>
      <w:r w:rsidR="00EF1E66" w:rsidRPr="00CD6993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="00EF1E66" w:rsidRPr="00CD6993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</w:t>
      </w:r>
      <w:r w:rsidR="00F31E67" w:rsidRPr="00F31E67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="00EF1E66" w:rsidRPr="00CD6993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EF1E66" w:rsidRPr="00CD6993" w:rsidRDefault="00EF1E66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E66" w:rsidRPr="00CD6993" w:rsidRDefault="00EF1E66" w:rsidP="00EF1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62378975" wp14:editId="07A1277F">
            <wp:extent cx="129921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93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EF1E66" w:rsidRPr="00CD6993" w:rsidRDefault="00EF1E66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E66" w:rsidRPr="00CD6993" w:rsidRDefault="00EF1E66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993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Pr="00CD6993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gramStart"/>
      <w:r w:rsidRPr="00CD6993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CD6993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</w:t>
      </w:r>
      <w:r w:rsidR="00F31E67" w:rsidRPr="00F31E67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Pr="00CD6993">
        <w:rPr>
          <w:rFonts w:ascii="Times New Roman" w:hAnsi="Times New Roman" w:cs="Times New Roman"/>
          <w:sz w:val="28"/>
          <w:szCs w:val="28"/>
        </w:rPr>
        <w:t>;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993">
        <w:rPr>
          <w:rFonts w:ascii="Times New Roman" w:hAnsi="Times New Roman" w:cs="Times New Roman"/>
          <w:sz w:val="28"/>
          <w:szCs w:val="28"/>
        </w:rPr>
        <w:lastRenderedPageBreak/>
        <w:t>Кпнпа</w:t>
      </w:r>
      <w:proofErr w:type="spellEnd"/>
      <w:r w:rsidRPr="00CD6993">
        <w:rPr>
          <w:rFonts w:ascii="Times New Roman" w:hAnsi="Times New Roman" w:cs="Times New Roman"/>
          <w:sz w:val="28"/>
          <w:szCs w:val="28"/>
        </w:rPr>
        <w:t xml:space="preserve"> - количество проектов нормативных правовых актов</w:t>
      </w:r>
      <w:r w:rsidR="00F31E67" w:rsidRPr="00F31E67">
        <w:t xml:space="preserve"> </w:t>
      </w:r>
      <w:r w:rsidR="00F31E67" w:rsidRPr="00F31E67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Pr="00CD6993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 xml:space="preserve">Кноп - количество проектов нормативных правовых актов </w:t>
      </w:r>
      <w:r w:rsidR="00F31E67" w:rsidRPr="00F31E67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proofErr w:type="gramStart"/>
      <w:r w:rsidR="00F31E67" w:rsidRPr="00F31E67">
        <w:rPr>
          <w:rFonts w:ascii="Times New Roman" w:hAnsi="Times New Roman" w:cs="Times New Roman"/>
          <w:sz w:val="28"/>
          <w:szCs w:val="28"/>
        </w:rPr>
        <w:t xml:space="preserve"> </w:t>
      </w:r>
      <w:r w:rsidRPr="00CD6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993">
        <w:rPr>
          <w:rFonts w:ascii="Times New Roman" w:hAnsi="Times New Roman" w:cs="Times New Roman"/>
          <w:sz w:val="28"/>
          <w:szCs w:val="28"/>
        </w:rPr>
        <w:t xml:space="preserve">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6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993">
        <w:rPr>
          <w:rFonts w:ascii="Times New Roman" w:hAnsi="Times New Roman" w:cs="Times New Roman"/>
          <w:sz w:val="28"/>
          <w:szCs w:val="28"/>
        </w:rPr>
        <w:t xml:space="preserve"> если за отчетный период в проектах актов антимонопольным органом или </w:t>
      </w:r>
      <w:r w:rsidR="00F31E67" w:rsidRPr="00F31E67">
        <w:rPr>
          <w:rFonts w:ascii="Times New Roman" w:hAnsi="Times New Roman" w:cs="Times New Roman"/>
          <w:sz w:val="28"/>
          <w:szCs w:val="28"/>
        </w:rPr>
        <w:t>администраци</w:t>
      </w:r>
      <w:r w:rsidR="00F31E67">
        <w:rPr>
          <w:rFonts w:ascii="Times New Roman" w:hAnsi="Times New Roman" w:cs="Times New Roman"/>
          <w:sz w:val="28"/>
          <w:szCs w:val="28"/>
        </w:rPr>
        <w:t>й</w:t>
      </w:r>
      <w:r w:rsidR="00F31E67" w:rsidRPr="00F31E67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 </w:t>
      </w:r>
      <w:r w:rsidRPr="00CD6993">
        <w:rPr>
          <w:rFonts w:ascii="Times New Roman" w:hAnsi="Times New Roman" w:cs="Times New Roman"/>
          <w:sz w:val="28"/>
          <w:szCs w:val="28"/>
        </w:rPr>
        <w:t xml:space="preserve">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sz w:val="28"/>
          <w:szCs w:val="28"/>
        </w:rPr>
        <w:t>2.</w:t>
      </w:r>
      <w:r w:rsidR="00C64398">
        <w:rPr>
          <w:rFonts w:ascii="Times New Roman" w:hAnsi="Times New Roman" w:cs="Times New Roman"/>
          <w:sz w:val="28"/>
          <w:szCs w:val="28"/>
        </w:rPr>
        <w:t>3</w:t>
      </w:r>
      <w:r w:rsidRPr="00CD6993">
        <w:rPr>
          <w:rFonts w:ascii="Times New Roman" w:hAnsi="Times New Roman" w:cs="Times New Roman"/>
          <w:sz w:val="28"/>
          <w:szCs w:val="28"/>
        </w:rPr>
        <w:t xml:space="preserve">.Коэффициент эффективности выявления нарушений антимонопольного законодательства в нормативных правовых актах </w:t>
      </w:r>
      <w:r w:rsidR="00F31E67" w:rsidRPr="00F31E67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Pr="00CD6993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EF1E66" w:rsidRPr="00CD6993" w:rsidRDefault="00EF1E66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E66" w:rsidRPr="00CD6993" w:rsidRDefault="00EF1E66" w:rsidP="00EF1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6993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4C74EC62" wp14:editId="3C9D3CC0">
            <wp:extent cx="1163320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93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EF1E66" w:rsidRPr="00CD6993" w:rsidRDefault="00EF1E66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E66" w:rsidRPr="00CD6993" w:rsidRDefault="00EF1E66" w:rsidP="00EF1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993">
        <w:rPr>
          <w:rFonts w:ascii="Times New Roman" w:hAnsi="Times New Roman" w:cs="Times New Roman"/>
          <w:sz w:val="28"/>
          <w:szCs w:val="28"/>
        </w:rPr>
        <w:t>Кэнпа</w:t>
      </w:r>
      <w:proofErr w:type="spellEnd"/>
      <w:r w:rsidRPr="00CD6993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выявления нарушений антимонопольного законодательства в нормативных правовых актах </w:t>
      </w:r>
      <w:r w:rsidR="00F31E67" w:rsidRPr="00F31E67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Pr="00CD6993">
        <w:rPr>
          <w:rFonts w:ascii="Times New Roman" w:hAnsi="Times New Roman" w:cs="Times New Roman"/>
          <w:sz w:val="28"/>
          <w:szCs w:val="28"/>
        </w:rPr>
        <w:t>;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993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CD6993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F31E67" w:rsidRPr="00F31E67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Pr="00CD6993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EF1E66" w:rsidRPr="00CD6993" w:rsidRDefault="00EF1E66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993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CD6993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F31E67" w:rsidRPr="00F31E67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proofErr w:type="gramStart"/>
      <w:r w:rsidR="00F31E67" w:rsidRPr="00F31E67">
        <w:rPr>
          <w:rFonts w:ascii="Times New Roman" w:hAnsi="Times New Roman" w:cs="Times New Roman"/>
          <w:sz w:val="28"/>
          <w:szCs w:val="28"/>
        </w:rPr>
        <w:t xml:space="preserve"> </w:t>
      </w:r>
      <w:r w:rsidRPr="00CD6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993">
        <w:rPr>
          <w:rFonts w:ascii="Times New Roman" w:hAnsi="Times New Roman" w:cs="Times New Roman"/>
          <w:sz w:val="28"/>
          <w:szCs w:val="28"/>
        </w:rPr>
        <w:t xml:space="preserve"> в которых антимонопольным органом выявлены нарушения антимонопольного законодательства (в отчетном периоде).</w:t>
      </w:r>
    </w:p>
    <w:p w:rsidR="00EF1E66" w:rsidRPr="00CD6993" w:rsidRDefault="00F31E67" w:rsidP="00EF1E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F1E66" w:rsidRPr="00CD6993">
        <w:rPr>
          <w:rFonts w:ascii="Times New Roman" w:hAnsi="Times New Roman" w:cs="Times New Roman"/>
          <w:sz w:val="28"/>
          <w:szCs w:val="28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</w:t>
      </w:r>
      <w:r w:rsidR="009C561B" w:rsidRPr="009C561B">
        <w:rPr>
          <w:rFonts w:ascii="Times New Roman" w:hAnsi="Times New Roman" w:cs="Times New Roman"/>
          <w:sz w:val="28"/>
          <w:szCs w:val="28"/>
        </w:rPr>
        <w:t>администраци</w:t>
      </w:r>
      <w:r w:rsidR="009C561B">
        <w:rPr>
          <w:rFonts w:ascii="Times New Roman" w:hAnsi="Times New Roman" w:cs="Times New Roman"/>
          <w:sz w:val="28"/>
          <w:szCs w:val="28"/>
        </w:rPr>
        <w:t>й</w:t>
      </w:r>
      <w:r w:rsidR="009C561B" w:rsidRPr="009C561B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 </w:t>
      </w:r>
      <w:r w:rsidR="00EF1E66" w:rsidRPr="00CD6993">
        <w:rPr>
          <w:rFonts w:ascii="Times New Roman" w:hAnsi="Times New Roman" w:cs="Times New Roman"/>
          <w:sz w:val="28"/>
          <w:szCs w:val="28"/>
        </w:rPr>
        <w:t xml:space="preserve">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EF1E66" w:rsidRDefault="00EF1E66" w:rsidP="00EF1E66">
      <w:pPr>
        <w:pStyle w:val="ConsPlusNormal"/>
        <w:jc w:val="center"/>
      </w:pPr>
    </w:p>
    <w:p w:rsidR="00FF78C8" w:rsidRPr="00FE7D12" w:rsidRDefault="00EC6530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 xml:space="preserve">      </w:t>
      </w:r>
      <w:r w:rsidR="00FF78C8" w:rsidRPr="00FE7D12">
        <w:rPr>
          <w:rFonts w:ascii="Times New Roman" w:hAnsi="Times New Roman" w:cs="Times New Roman"/>
          <w:sz w:val="28"/>
          <w:szCs w:val="28"/>
        </w:rPr>
        <w:t xml:space="preserve">2.4. Доля </w:t>
      </w:r>
      <w:r w:rsidR="00E7284A" w:rsidRPr="00FE7D12">
        <w:rPr>
          <w:rFonts w:ascii="Times New Roman" w:hAnsi="Times New Roman" w:cs="Times New Roman"/>
          <w:sz w:val="28"/>
          <w:szCs w:val="28"/>
        </w:rPr>
        <w:t>специалистов администрации Пировского муниципального округа</w:t>
      </w:r>
      <w:r w:rsidR="00FF78C8" w:rsidRPr="00FE7D12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</w:t>
      </w:r>
      <w:r w:rsidR="00FF78C8" w:rsidRPr="00FE7D12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законодательству и антимонопольному </w:t>
      </w:r>
      <w:proofErr w:type="spellStart"/>
      <w:r w:rsidR="00FF78C8" w:rsidRPr="00FE7D12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FF78C8" w:rsidRPr="00FE7D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F78C8" w:rsidRPr="00FE7D12">
        <w:rPr>
          <w:rFonts w:ascii="Times New Roman" w:hAnsi="Times New Roman" w:cs="Times New Roman"/>
          <w:sz w:val="28"/>
          <w:szCs w:val="28"/>
        </w:rPr>
        <w:t>ДС</w:t>
      </w:r>
      <w:r w:rsidR="00FF78C8" w:rsidRPr="00FE7D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="00FF78C8" w:rsidRPr="00FE7D12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FF78C8" w:rsidRPr="00FE7D12" w:rsidRDefault="00FF78C8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D12">
        <w:rPr>
          <w:rFonts w:ascii="Times New Roman" w:hAnsi="Times New Roman" w:cs="Times New Roman"/>
          <w:sz w:val="28"/>
          <w:szCs w:val="28"/>
        </w:rPr>
        <w:t>ДС</w:t>
      </w:r>
      <w:r w:rsidRPr="00FE7D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FE7D1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E7D12">
        <w:rPr>
          <w:rFonts w:ascii="Times New Roman" w:hAnsi="Times New Roman" w:cs="Times New Roman"/>
          <w:sz w:val="28"/>
          <w:szCs w:val="28"/>
        </w:rPr>
        <w:t>КС</w:t>
      </w:r>
      <w:r w:rsidRPr="00FE7D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FE7D1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E7D12">
        <w:rPr>
          <w:rFonts w:ascii="Times New Roman" w:hAnsi="Times New Roman" w:cs="Times New Roman"/>
          <w:sz w:val="28"/>
          <w:szCs w:val="28"/>
        </w:rPr>
        <w:t>КС</w:t>
      </w:r>
      <w:r w:rsidRPr="00FE7D1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FE7D12">
        <w:rPr>
          <w:rFonts w:ascii="Times New Roman" w:hAnsi="Times New Roman" w:cs="Times New Roman"/>
          <w:sz w:val="28"/>
          <w:szCs w:val="28"/>
        </w:rPr>
        <w:t>, где:</w:t>
      </w:r>
    </w:p>
    <w:p w:rsidR="00FF78C8" w:rsidRPr="00FE7D12" w:rsidRDefault="00FF78C8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D12">
        <w:rPr>
          <w:rFonts w:ascii="Times New Roman" w:hAnsi="Times New Roman" w:cs="Times New Roman"/>
          <w:sz w:val="28"/>
          <w:szCs w:val="28"/>
        </w:rPr>
        <w:t>КС</w:t>
      </w:r>
      <w:r w:rsidRPr="00FE7D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FE7D12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E7284A" w:rsidRPr="00FE7D12">
        <w:rPr>
          <w:rFonts w:ascii="Times New Roman" w:hAnsi="Times New Roman" w:cs="Times New Roman"/>
          <w:sz w:val="28"/>
          <w:szCs w:val="28"/>
        </w:rPr>
        <w:t>специалистов администрации Пировского муниципального округа</w:t>
      </w:r>
      <w:r w:rsidRPr="00FE7D12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FE7D12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FE7D12">
        <w:rPr>
          <w:rFonts w:ascii="Times New Roman" w:hAnsi="Times New Roman" w:cs="Times New Roman"/>
          <w:sz w:val="28"/>
          <w:szCs w:val="28"/>
        </w:rPr>
        <w:t>;</w:t>
      </w:r>
    </w:p>
    <w:p w:rsidR="00FF78C8" w:rsidRPr="00FE7D12" w:rsidRDefault="00FF78C8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D12">
        <w:rPr>
          <w:rFonts w:ascii="Times New Roman" w:hAnsi="Times New Roman" w:cs="Times New Roman"/>
          <w:sz w:val="28"/>
          <w:szCs w:val="28"/>
        </w:rPr>
        <w:t>КС</w:t>
      </w:r>
      <w:r w:rsidRPr="00FE7D1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FE7D12">
        <w:rPr>
          <w:rFonts w:ascii="Times New Roman" w:hAnsi="Times New Roman" w:cs="Times New Roman"/>
          <w:sz w:val="28"/>
          <w:szCs w:val="28"/>
        </w:rPr>
        <w:t xml:space="preserve"> - общее количество </w:t>
      </w:r>
      <w:r w:rsidR="00E7284A" w:rsidRPr="00FE7D12">
        <w:rPr>
          <w:rFonts w:ascii="Times New Roman" w:hAnsi="Times New Roman" w:cs="Times New Roman"/>
          <w:sz w:val="28"/>
          <w:szCs w:val="28"/>
        </w:rPr>
        <w:t>специалистов администрации Пировского муниципального округа</w:t>
      </w:r>
      <w:r w:rsidRPr="00FE7D12">
        <w:rPr>
          <w:rFonts w:ascii="Times New Roman" w:hAnsi="Times New Roman" w:cs="Times New Roman"/>
          <w:sz w:val="28"/>
          <w:szCs w:val="28"/>
        </w:rPr>
        <w:t>, чьи трудовые (должностные) обязанности предусматривают осуществление функций, связанных с рисками нарушения антимонопольного законодательства.</w:t>
      </w:r>
    </w:p>
    <w:p w:rsidR="00FF78C8" w:rsidRPr="00FE7D12" w:rsidRDefault="00FF78C8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78C8" w:rsidRPr="00FE7D12" w:rsidRDefault="00FF78C8" w:rsidP="00E7284A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D12">
        <w:rPr>
          <w:rFonts w:ascii="Times New Roman" w:hAnsi="Times New Roman" w:cs="Times New Roman"/>
          <w:b/>
          <w:bCs/>
          <w:sz w:val="28"/>
          <w:szCs w:val="28"/>
        </w:rPr>
        <w:t>3. ПОРЯДОК ОЦЕНКИ ЗНАЧЕНИЙ КЛЮЧЕВЫХ ПОКАЗАТЕЛЕЙ</w:t>
      </w:r>
    </w:p>
    <w:p w:rsidR="00864CDA" w:rsidRPr="00864CDA" w:rsidRDefault="00EC6530" w:rsidP="00864CD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 xml:space="preserve">      </w:t>
      </w:r>
      <w:r w:rsidR="00864CDA" w:rsidRPr="00864CDA">
        <w:rPr>
          <w:rFonts w:ascii="Times New Roman" w:hAnsi="Times New Roman" w:cs="Times New Roman"/>
          <w:sz w:val="28"/>
          <w:szCs w:val="28"/>
        </w:rPr>
        <w:t>Ключевой показатель "коэффициент снижения количества нарушений антимонопольного законодательства со стороны администрации Пировского муниципального округа  за последние три года" определяется в рамках анализа выявленных нарушений антимонопольного законодательства в деятельности администрации Пировского муниципального округа за предыдущие три года (наличие предостережений, предупреждений, штрафов, жалоб, возбужденных дел)</w:t>
      </w:r>
      <w:r w:rsidR="0097074D">
        <w:rPr>
          <w:rFonts w:ascii="Times New Roman" w:hAnsi="Times New Roman" w:cs="Times New Roman"/>
          <w:sz w:val="28"/>
          <w:szCs w:val="28"/>
        </w:rPr>
        <w:t>.</w:t>
      </w:r>
    </w:p>
    <w:p w:rsidR="00864CDA" w:rsidRPr="00864CDA" w:rsidRDefault="00864CDA" w:rsidP="00864CD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CDA">
        <w:rPr>
          <w:rFonts w:ascii="Times New Roman" w:hAnsi="Times New Roman" w:cs="Times New Roman"/>
          <w:sz w:val="28"/>
          <w:szCs w:val="28"/>
        </w:rPr>
        <w:t xml:space="preserve">Ежегодная оценка значения КПЭ "показатель снижения количества нарушений антимонопольного законодательства со стороны администрации Пировского муниципального округа за последние три года" призвана обеспечить понимание эффективности функционирования антимонопольного </w:t>
      </w:r>
      <w:proofErr w:type="spellStart"/>
      <w:r w:rsidRPr="00864CD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64CDA">
        <w:rPr>
          <w:rFonts w:ascii="Times New Roman" w:hAnsi="Times New Roman" w:cs="Times New Roman"/>
          <w:sz w:val="28"/>
          <w:szCs w:val="28"/>
        </w:rPr>
        <w:t xml:space="preserve"> в администрации Пировского муниципального </w:t>
      </w:r>
      <w:proofErr w:type="gramStart"/>
      <w:r w:rsidRPr="00864CD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64CDA">
        <w:rPr>
          <w:rFonts w:ascii="Times New Roman" w:hAnsi="Times New Roman" w:cs="Times New Roman"/>
          <w:sz w:val="28"/>
          <w:szCs w:val="28"/>
        </w:rPr>
        <w:t xml:space="preserve">  и служит одним из ключевых факторов для определения областей деятельности, содержащих высокие </w:t>
      </w:r>
      <w:proofErr w:type="spellStart"/>
      <w:r w:rsidRPr="00864CD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64CDA">
        <w:rPr>
          <w:rFonts w:ascii="Times New Roman" w:hAnsi="Times New Roman" w:cs="Times New Roman"/>
          <w:sz w:val="28"/>
          <w:szCs w:val="28"/>
        </w:rPr>
        <w:t>-риски.</w:t>
      </w:r>
    </w:p>
    <w:p w:rsidR="00864CDA" w:rsidRPr="00864CDA" w:rsidRDefault="00864CDA" w:rsidP="00864CD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CDA">
        <w:rPr>
          <w:rFonts w:ascii="Times New Roman" w:hAnsi="Times New Roman" w:cs="Times New Roman"/>
          <w:sz w:val="28"/>
          <w:szCs w:val="28"/>
        </w:rPr>
        <w:t>Целевое значение коэффициента определяется администрации Пировского муниципального округа  самостоятельно. При этом следует учитывать, что в случае, если количество нарушений в отчетном периоде по сравнению с аналогичным периодом три года ранее снизилось, ключевой показатель "коэффициент снижения количества нарушений антимонопольного законодательства со стороны администрации Пировского муниципального округа за последние три года" должен превышать значение "1".</w:t>
      </w:r>
    </w:p>
    <w:p w:rsidR="00864CDA" w:rsidRPr="00864CDA" w:rsidRDefault="00864CDA" w:rsidP="00864CD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CDA">
        <w:rPr>
          <w:rFonts w:ascii="Times New Roman" w:hAnsi="Times New Roman" w:cs="Times New Roman"/>
          <w:sz w:val="28"/>
          <w:szCs w:val="28"/>
        </w:rPr>
        <w:t xml:space="preserve">Показатель снижения количества нарушений антимонопольного законодательства со стороны администрации Пировского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4CDA">
        <w:rPr>
          <w:rFonts w:ascii="Times New Roman" w:hAnsi="Times New Roman" w:cs="Times New Roman"/>
          <w:sz w:val="28"/>
          <w:szCs w:val="28"/>
        </w:rPr>
        <w:t>а последние три года должен учитываться при составлении карты рисков и "дорожной карты" по устранению выявленных рисков.</w:t>
      </w:r>
    </w:p>
    <w:p w:rsidR="00864CDA" w:rsidRPr="00C64398" w:rsidRDefault="00C64398" w:rsidP="00864CDA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8">
        <w:rPr>
          <w:rFonts w:ascii="Times New Roman" w:hAnsi="Times New Roman" w:cs="Times New Roman"/>
          <w:b/>
          <w:sz w:val="28"/>
          <w:szCs w:val="28"/>
        </w:rPr>
        <w:lastRenderedPageBreak/>
        <w:t>3.1</w:t>
      </w:r>
      <w:r w:rsidR="00864CDA" w:rsidRPr="00864CDA">
        <w:rPr>
          <w:rFonts w:ascii="Times New Roman" w:hAnsi="Times New Roman" w:cs="Times New Roman"/>
          <w:sz w:val="28"/>
          <w:szCs w:val="28"/>
        </w:rPr>
        <w:t xml:space="preserve"> </w:t>
      </w:r>
      <w:r w:rsidR="00864CDA" w:rsidRPr="00C64398">
        <w:rPr>
          <w:rFonts w:ascii="Times New Roman" w:hAnsi="Times New Roman" w:cs="Times New Roman"/>
          <w:b/>
          <w:sz w:val="28"/>
          <w:szCs w:val="28"/>
        </w:rPr>
        <w:t xml:space="preserve">Оценка значений КПЭ "коэффициент </w:t>
      </w:r>
      <w:proofErr w:type="gramStart"/>
      <w:r w:rsidR="00864CDA" w:rsidRPr="00C64398">
        <w:rPr>
          <w:rFonts w:ascii="Times New Roman" w:hAnsi="Times New Roman" w:cs="Times New Roman"/>
          <w:b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="00864CDA" w:rsidRPr="00C64398">
        <w:rPr>
          <w:rFonts w:ascii="Times New Roman" w:hAnsi="Times New Roman" w:cs="Times New Roman"/>
          <w:b/>
          <w:sz w:val="28"/>
          <w:szCs w:val="28"/>
        </w:rPr>
        <w:t xml:space="preserve"> в проектах нормативных правовых актов администрации Пировского муниципального округа» и "коэффициент эффективности выявления нарушений антимонопольного законодательства в нормативных правовых актах администрации Пировского муниципального округа ".</w:t>
      </w:r>
    </w:p>
    <w:p w:rsidR="00864CDA" w:rsidRPr="00864CDA" w:rsidRDefault="00C64398" w:rsidP="00864CD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64CDA" w:rsidRPr="00864CDA">
        <w:rPr>
          <w:rFonts w:ascii="Times New Roman" w:hAnsi="Times New Roman" w:cs="Times New Roman"/>
          <w:sz w:val="28"/>
          <w:szCs w:val="28"/>
        </w:rPr>
        <w:t xml:space="preserve">При эффективном проведении мероприятий по анализу нормативных правовых актов </w:t>
      </w:r>
      <w:r w:rsidR="0097074D" w:rsidRPr="0097074D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="00864CDA" w:rsidRPr="00864CDA">
        <w:rPr>
          <w:rFonts w:ascii="Times New Roman" w:hAnsi="Times New Roman" w:cs="Times New Roman"/>
          <w:sz w:val="28"/>
          <w:szCs w:val="28"/>
        </w:rPr>
        <w:t xml:space="preserve"> 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 </w:t>
      </w:r>
      <w:r w:rsidR="0097074D" w:rsidRPr="0097074D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="00864CDA" w:rsidRPr="00864CDA">
        <w:rPr>
          <w:rFonts w:ascii="Times New Roman" w:hAnsi="Times New Roman" w:cs="Times New Roman"/>
          <w:sz w:val="28"/>
          <w:szCs w:val="28"/>
        </w:rPr>
        <w:t>, в отношении которых антимонопольным органом выявлены нарушения антимонопольного законодательства (то есть низкое значение знаменателя).</w:t>
      </w:r>
      <w:proofErr w:type="gramEnd"/>
    </w:p>
    <w:p w:rsidR="00864CDA" w:rsidRPr="00864CDA" w:rsidRDefault="00864CDA" w:rsidP="00864CD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CDA">
        <w:rPr>
          <w:rFonts w:ascii="Times New Roman" w:hAnsi="Times New Roman" w:cs="Times New Roman"/>
          <w:sz w:val="28"/>
          <w:szCs w:val="28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864CD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64CDA">
        <w:rPr>
          <w:rFonts w:ascii="Times New Roman" w:hAnsi="Times New Roman" w:cs="Times New Roman"/>
          <w:sz w:val="28"/>
          <w:szCs w:val="28"/>
        </w:rPr>
        <w:t xml:space="preserve"> будут осуществляться уполномоченным подразделением (должностным лицом). </w:t>
      </w:r>
      <w:proofErr w:type="gramStart"/>
      <w:r w:rsidRPr="00864C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4CDA">
        <w:rPr>
          <w:rFonts w:ascii="Times New Roman" w:hAnsi="Times New Roman" w:cs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 низкие значения КПЭ будут свидетельствовать о низкой эффективности данных мероприятий.</w:t>
      </w:r>
    </w:p>
    <w:p w:rsidR="00864CDA" w:rsidRPr="00864CDA" w:rsidRDefault="00864CDA" w:rsidP="00864CD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CDA">
        <w:rPr>
          <w:rFonts w:ascii="Times New Roman" w:hAnsi="Times New Roman" w:cs="Times New Roman"/>
          <w:sz w:val="28"/>
          <w:szCs w:val="28"/>
        </w:rPr>
        <w:t xml:space="preserve">Целевое значение коэффициента определяется </w:t>
      </w:r>
      <w:r w:rsidR="0097074D" w:rsidRPr="0097074D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Pr="00864CDA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proofErr w:type="gramStart"/>
      <w:r w:rsidRPr="00864CDA">
        <w:rPr>
          <w:rFonts w:ascii="Times New Roman" w:hAnsi="Times New Roman" w:cs="Times New Roman"/>
          <w:sz w:val="28"/>
          <w:szCs w:val="28"/>
        </w:rPr>
        <w:t xml:space="preserve">При этом следует учитывать, что в случае, если количество проектов актов </w:t>
      </w:r>
      <w:r w:rsidR="0097074D" w:rsidRPr="0097074D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Pr="00864CDA">
        <w:rPr>
          <w:rFonts w:ascii="Times New Roman" w:hAnsi="Times New Roman" w:cs="Times New Roman"/>
          <w:sz w:val="28"/>
          <w:szCs w:val="28"/>
        </w:rPr>
        <w:t xml:space="preserve">, содержащих риски нарушения антимонопольного законодательства, или актов </w:t>
      </w:r>
      <w:r w:rsidR="0097074D" w:rsidRPr="0097074D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Pr="00864CDA">
        <w:rPr>
          <w:rFonts w:ascii="Times New Roman" w:hAnsi="Times New Roman" w:cs="Times New Roman"/>
          <w:sz w:val="28"/>
          <w:szCs w:val="28"/>
        </w:rPr>
        <w:t xml:space="preserve">, нарушающих законодательство, выявленное данным органом, превышает соответствующее количество, выявленное антимонопольным органом, ключевой показатель "коэффициент эффективности выявления рисков нарушения антимонопольного законодательства проектами нормативных правовых актов </w:t>
      </w:r>
      <w:r w:rsidR="0097074D" w:rsidRPr="0097074D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Pr="00864CDA">
        <w:rPr>
          <w:rFonts w:ascii="Times New Roman" w:hAnsi="Times New Roman" w:cs="Times New Roman"/>
          <w:sz w:val="28"/>
          <w:szCs w:val="28"/>
        </w:rPr>
        <w:t>" или "коэффициент эффективности выявления нарушений антимонопольного</w:t>
      </w:r>
      <w:proofErr w:type="gramEnd"/>
      <w:r w:rsidRPr="00864CDA">
        <w:rPr>
          <w:rFonts w:ascii="Times New Roman" w:hAnsi="Times New Roman" w:cs="Times New Roman"/>
          <w:sz w:val="28"/>
          <w:szCs w:val="28"/>
        </w:rPr>
        <w:t xml:space="preserve"> законодательства нормативными правовыми актами </w:t>
      </w:r>
      <w:r w:rsidR="0097074D" w:rsidRPr="0097074D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Pr="00864CDA">
        <w:rPr>
          <w:rFonts w:ascii="Times New Roman" w:hAnsi="Times New Roman" w:cs="Times New Roman"/>
          <w:sz w:val="28"/>
          <w:szCs w:val="28"/>
        </w:rPr>
        <w:t>" должен превышать значение "1".</w:t>
      </w:r>
    </w:p>
    <w:p w:rsidR="00864CDA" w:rsidRPr="008B7665" w:rsidRDefault="00C64398" w:rsidP="00864CDA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665">
        <w:rPr>
          <w:rFonts w:ascii="Times New Roman" w:hAnsi="Times New Roman" w:cs="Times New Roman"/>
          <w:b/>
          <w:sz w:val="28"/>
          <w:szCs w:val="28"/>
        </w:rPr>
        <w:t>3.2</w:t>
      </w:r>
      <w:r w:rsidR="00864CDA" w:rsidRPr="008B7665">
        <w:rPr>
          <w:rFonts w:ascii="Times New Roman" w:hAnsi="Times New Roman" w:cs="Times New Roman"/>
          <w:b/>
          <w:sz w:val="28"/>
          <w:szCs w:val="28"/>
        </w:rPr>
        <w:t xml:space="preserve"> Оценка значения КПЭ "</w:t>
      </w:r>
      <w:r w:rsidR="0097074D" w:rsidRPr="008B7665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864CDA" w:rsidRPr="008B7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74D" w:rsidRPr="008B7665">
        <w:rPr>
          <w:b/>
        </w:rPr>
        <w:t xml:space="preserve"> </w:t>
      </w:r>
      <w:r w:rsidR="0097074D" w:rsidRPr="008B7665">
        <w:rPr>
          <w:rFonts w:ascii="Times New Roman" w:hAnsi="Times New Roman" w:cs="Times New Roman"/>
          <w:b/>
          <w:sz w:val="28"/>
          <w:szCs w:val="28"/>
        </w:rPr>
        <w:t>администрации Пировского муниципального округа</w:t>
      </w:r>
      <w:r w:rsidR="00864CDA" w:rsidRPr="008B7665">
        <w:rPr>
          <w:rFonts w:ascii="Times New Roman" w:hAnsi="Times New Roman" w:cs="Times New Roman"/>
          <w:b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864CDA" w:rsidRPr="008B7665">
        <w:rPr>
          <w:rFonts w:ascii="Times New Roman" w:hAnsi="Times New Roman" w:cs="Times New Roman"/>
          <w:b/>
          <w:sz w:val="28"/>
          <w:szCs w:val="28"/>
        </w:rPr>
        <w:t>комплаенсу</w:t>
      </w:r>
      <w:proofErr w:type="spellEnd"/>
      <w:r w:rsidR="00864CDA" w:rsidRPr="008B7665">
        <w:rPr>
          <w:rFonts w:ascii="Times New Roman" w:hAnsi="Times New Roman" w:cs="Times New Roman"/>
          <w:b/>
          <w:sz w:val="28"/>
          <w:szCs w:val="28"/>
        </w:rPr>
        <w:t>".</w:t>
      </w:r>
    </w:p>
    <w:p w:rsidR="00864CDA" w:rsidRPr="00864CDA" w:rsidRDefault="00864CDA" w:rsidP="00864CD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CDA">
        <w:rPr>
          <w:rFonts w:ascii="Times New Roman" w:hAnsi="Times New Roman" w:cs="Times New Roman"/>
          <w:sz w:val="28"/>
          <w:szCs w:val="28"/>
        </w:rPr>
        <w:lastRenderedPageBreak/>
        <w:t xml:space="preserve">Расчет данного показателя предусматривает определение </w:t>
      </w:r>
      <w:r w:rsidR="0097074D">
        <w:rPr>
          <w:rFonts w:ascii="Times New Roman" w:hAnsi="Times New Roman" w:cs="Times New Roman"/>
          <w:sz w:val="28"/>
          <w:szCs w:val="28"/>
        </w:rPr>
        <w:t>специалистов</w:t>
      </w:r>
      <w:r w:rsidRPr="00864CDA">
        <w:rPr>
          <w:rFonts w:ascii="Times New Roman" w:hAnsi="Times New Roman" w:cs="Times New Roman"/>
          <w:sz w:val="28"/>
          <w:szCs w:val="28"/>
        </w:rPr>
        <w:t xml:space="preserve"> </w:t>
      </w:r>
      <w:r w:rsidR="0097074D" w:rsidRPr="0097074D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</w:t>
      </w:r>
      <w:proofErr w:type="gramStart"/>
      <w:r w:rsidR="0097074D" w:rsidRPr="0097074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7074D" w:rsidRPr="0097074D">
        <w:rPr>
          <w:rFonts w:ascii="Times New Roman" w:hAnsi="Times New Roman" w:cs="Times New Roman"/>
          <w:sz w:val="28"/>
          <w:szCs w:val="28"/>
        </w:rPr>
        <w:t xml:space="preserve"> </w:t>
      </w:r>
      <w:r w:rsidRPr="00864CDA">
        <w:rPr>
          <w:rFonts w:ascii="Times New Roman" w:hAnsi="Times New Roman" w:cs="Times New Roman"/>
          <w:sz w:val="28"/>
          <w:szCs w:val="28"/>
        </w:rPr>
        <w:t xml:space="preserve">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</w:t>
      </w:r>
      <w:r w:rsidR="0097074D">
        <w:rPr>
          <w:rFonts w:ascii="Times New Roman" w:hAnsi="Times New Roman" w:cs="Times New Roman"/>
          <w:sz w:val="28"/>
          <w:szCs w:val="28"/>
        </w:rPr>
        <w:t>специалистов</w:t>
      </w:r>
      <w:r w:rsidRPr="00864CDA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64CD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864CDA">
        <w:rPr>
          <w:rFonts w:ascii="Times New Roman" w:hAnsi="Times New Roman" w:cs="Times New Roman"/>
          <w:sz w:val="28"/>
          <w:szCs w:val="28"/>
        </w:rPr>
        <w:t xml:space="preserve">. Высокое значение количества </w:t>
      </w:r>
      <w:r w:rsidR="0097074D">
        <w:rPr>
          <w:rFonts w:ascii="Times New Roman" w:hAnsi="Times New Roman" w:cs="Times New Roman"/>
          <w:sz w:val="28"/>
          <w:szCs w:val="28"/>
        </w:rPr>
        <w:t>специалистов</w:t>
      </w:r>
      <w:r w:rsidRPr="00864CDA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64CD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864CDA">
        <w:rPr>
          <w:rFonts w:ascii="Times New Roman" w:hAnsi="Times New Roman" w:cs="Times New Roman"/>
          <w:sz w:val="28"/>
          <w:szCs w:val="28"/>
        </w:rPr>
        <w:t xml:space="preserve"> (числитель), обеспечивает высокое значение КПЭ.</w:t>
      </w:r>
    </w:p>
    <w:p w:rsidR="00864CDA" w:rsidRPr="00864CDA" w:rsidRDefault="00864CDA" w:rsidP="00864CD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CDA">
        <w:rPr>
          <w:rFonts w:ascii="Times New Roman" w:hAnsi="Times New Roman" w:cs="Times New Roman"/>
          <w:sz w:val="28"/>
          <w:szCs w:val="28"/>
        </w:rPr>
        <w:t xml:space="preserve">Целевое значение коэффициента определяется </w:t>
      </w:r>
      <w:r w:rsidR="0097074D" w:rsidRPr="0097074D">
        <w:rPr>
          <w:rFonts w:ascii="Times New Roman" w:hAnsi="Times New Roman" w:cs="Times New Roman"/>
          <w:sz w:val="28"/>
          <w:szCs w:val="28"/>
        </w:rPr>
        <w:t>администраци</w:t>
      </w:r>
      <w:r w:rsidR="0097074D">
        <w:rPr>
          <w:rFonts w:ascii="Times New Roman" w:hAnsi="Times New Roman" w:cs="Times New Roman"/>
          <w:sz w:val="28"/>
          <w:szCs w:val="28"/>
        </w:rPr>
        <w:t>ей</w:t>
      </w:r>
      <w:r w:rsidR="0097074D" w:rsidRPr="0097074D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 </w:t>
      </w:r>
      <w:r w:rsidRPr="00864CDA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proofErr w:type="gramStart"/>
      <w:r w:rsidRPr="00864CDA">
        <w:rPr>
          <w:rFonts w:ascii="Times New Roman" w:hAnsi="Times New Roman" w:cs="Times New Roman"/>
          <w:sz w:val="28"/>
          <w:szCs w:val="28"/>
        </w:rPr>
        <w:t>При этом следует учитывать, что в случае, если общее количество с</w:t>
      </w:r>
      <w:r w:rsidR="0097074D">
        <w:rPr>
          <w:rFonts w:ascii="Times New Roman" w:hAnsi="Times New Roman" w:cs="Times New Roman"/>
          <w:sz w:val="28"/>
          <w:szCs w:val="28"/>
        </w:rPr>
        <w:t>пециалистов</w:t>
      </w:r>
      <w:r w:rsidRPr="00864CDA">
        <w:rPr>
          <w:rFonts w:ascii="Times New Roman" w:hAnsi="Times New Roman" w:cs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количество </w:t>
      </w:r>
      <w:r w:rsidR="0097074D">
        <w:rPr>
          <w:rFonts w:ascii="Times New Roman" w:hAnsi="Times New Roman" w:cs="Times New Roman"/>
          <w:sz w:val="28"/>
          <w:szCs w:val="28"/>
        </w:rPr>
        <w:t>специалистов</w:t>
      </w:r>
      <w:r w:rsidRPr="00864CDA">
        <w:rPr>
          <w:rFonts w:ascii="Times New Roman" w:hAnsi="Times New Roman" w:cs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которые прошли обучающие мероприятия по соблюдению антимонопольного законодательства, значение ключевого показателя "доля </w:t>
      </w:r>
      <w:r w:rsidR="00DE7F55">
        <w:rPr>
          <w:rFonts w:ascii="Times New Roman" w:hAnsi="Times New Roman" w:cs="Times New Roman"/>
          <w:sz w:val="28"/>
          <w:szCs w:val="28"/>
        </w:rPr>
        <w:t>специалистов</w:t>
      </w:r>
      <w:r w:rsidRPr="00864CDA">
        <w:rPr>
          <w:rFonts w:ascii="Times New Roman" w:hAnsi="Times New Roman" w:cs="Times New Roman"/>
          <w:sz w:val="28"/>
          <w:szCs w:val="28"/>
        </w:rPr>
        <w:t xml:space="preserve"> </w:t>
      </w:r>
      <w:r w:rsidR="00DE7F55" w:rsidRPr="00DE7F55">
        <w:t xml:space="preserve"> </w:t>
      </w:r>
      <w:r w:rsidR="00DE7F55" w:rsidRPr="00DE7F55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Pr="00864CDA">
        <w:rPr>
          <w:rFonts w:ascii="Times New Roman" w:hAnsi="Times New Roman" w:cs="Times New Roman"/>
          <w:sz w:val="28"/>
          <w:szCs w:val="28"/>
        </w:rPr>
        <w:t>, в отношении которых</w:t>
      </w:r>
      <w:proofErr w:type="gramEnd"/>
      <w:r w:rsidRPr="00864CDA">
        <w:rPr>
          <w:rFonts w:ascii="Times New Roman" w:hAnsi="Times New Roman" w:cs="Times New Roman"/>
          <w:sz w:val="28"/>
          <w:szCs w:val="28"/>
        </w:rPr>
        <w:t xml:space="preserve"> были проведены обучающие мероприятия по антимонопольному законодательству и антимонопольному </w:t>
      </w:r>
      <w:proofErr w:type="spellStart"/>
      <w:r w:rsidRPr="00864CD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864CDA">
        <w:rPr>
          <w:rFonts w:ascii="Times New Roman" w:hAnsi="Times New Roman" w:cs="Times New Roman"/>
          <w:sz w:val="28"/>
          <w:szCs w:val="28"/>
        </w:rPr>
        <w:t>" будет составлять "1".</w:t>
      </w:r>
    </w:p>
    <w:p w:rsidR="00864CDA" w:rsidRDefault="00864CDA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DA" w:rsidRDefault="00864CDA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78C8" w:rsidRPr="00FE7D12" w:rsidRDefault="00EC6530" w:rsidP="0097074D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074D" w:rsidRPr="00FE7D12" w:rsidRDefault="0024044F" w:rsidP="0097074D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7D1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074D" w:rsidRDefault="0097074D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74D" w:rsidRDefault="0097074D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74D" w:rsidRDefault="0097074D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74D" w:rsidRDefault="0097074D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74D" w:rsidRDefault="0097074D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74D" w:rsidRDefault="0097074D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74D" w:rsidRDefault="0097074D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74D" w:rsidRDefault="0097074D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78C8" w:rsidRPr="00FE7D12" w:rsidRDefault="00FF78C8" w:rsidP="00FF78C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  <w:sectPr w:rsidR="00FF78C8" w:rsidRPr="00FE7D12" w:rsidSect="001519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E7D12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D410FB" w:rsidRPr="00FE7D12" w:rsidRDefault="00D410FB" w:rsidP="00B53EB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sectPr w:rsidR="00D410FB" w:rsidRPr="00FE7D12" w:rsidSect="00AC180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8F" w:rsidRDefault="00640E8F" w:rsidP="006F195E">
      <w:pPr>
        <w:spacing w:after="0" w:line="240" w:lineRule="auto"/>
      </w:pPr>
      <w:r>
        <w:separator/>
      </w:r>
    </w:p>
  </w:endnote>
  <w:endnote w:type="continuationSeparator" w:id="0">
    <w:p w:rsidR="00640E8F" w:rsidRDefault="00640E8F" w:rsidP="006F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8F" w:rsidRDefault="00640E8F" w:rsidP="006F195E">
      <w:pPr>
        <w:spacing w:after="0" w:line="240" w:lineRule="auto"/>
      </w:pPr>
      <w:r>
        <w:separator/>
      </w:r>
    </w:p>
  </w:footnote>
  <w:footnote w:type="continuationSeparator" w:id="0">
    <w:p w:rsidR="00640E8F" w:rsidRDefault="00640E8F" w:rsidP="006F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5E"/>
    <w:rsid w:val="0001222A"/>
    <w:rsid w:val="00012C71"/>
    <w:rsid w:val="000131D9"/>
    <w:rsid w:val="00030CCF"/>
    <w:rsid w:val="00031056"/>
    <w:rsid w:val="00050350"/>
    <w:rsid w:val="000A7220"/>
    <w:rsid w:val="000B4E7E"/>
    <w:rsid w:val="000C03CF"/>
    <w:rsid w:val="000F6772"/>
    <w:rsid w:val="001173A7"/>
    <w:rsid w:val="001246CE"/>
    <w:rsid w:val="001275A2"/>
    <w:rsid w:val="00136990"/>
    <w:rsid w:val="0014468F"/>
    <w:rsid w:val="0015195F"/>
    <w:rsid w:val="001C156C"/>
    <w:rsid w:val="001F2316"/>
    <w:rsid w:val="002058D7"/>
    <w:rsid w:val="00206E42"/>
    <w:rsid w:val="00223D34"/>
    <w:rsid w:val="0022464C"/>
    <w:rsid w:val="0024044F"/>
    <w:rsid w:val="00247268"/>
    <w:rsid w:val="002549D5"/>
    <w:rsid w:val="00261B7F"/>
    <w:rsid w:val="00281A4D"/>
    <w:rsid w:val="002A43EB"/>
    <w:rsid w:val="002A696E"/>
    <w:rsid w:val="002B1C18"/>
    <w:rsid w:val="002B1E78"/>
    <w:rsid w:val="002C5124"/>
    <w:rsid w:val="002E5B47"/>
    <w:rsid w:val="00305D7E"/>
    <w:rsid w:val="00401F15"/>
    <w:rsid w:val="004039D3"/>
    <w:rsid w:val="00435C00"/>
    <w:rsid w:val="00440B28"/>
    <w:rsid w:val="00461FD2"/>
    <w:rsid w:val="004643FB"/>
    <w:rsid w:val="00466FEF"/>
    <w:rsid w:val="004B2B1F"/>
    <w:rsid w:val="004D0E98"/>
    <w:rsid w:val="004D394F"/>
    <w:rsid w:val="004E6BC3"/>
    <w:rsid w:val="004F3C2E"/>
    <w:rsid w:val="004F5EA1"/>
    <w:rsid w:val="0055557F"/>
    <w:rsid w:val="00557DF5"/>
    <w:rsid w:val="005A065B"/>
    <w:rsid w:val="005A797F"/>
    <w:rsid w:val="005B18AD"/>
    <w:rsid w:val="005B64C2"/>
    <w:rsid w:val="005C064C"/>
    <w:rsid w:val="005C0AFA"/>
    <w:rsid w:val="00601963"/>
    <w:rsid w:val="00605B65"/>
    <w:rsid w:val="00607103"/>
    <w:rsid w:val="00610D5E"/>
    <w:rsid w:val="00621D7B"/>
    <w:rsid w:val="00632B0B"/>
    <w:rsid w:val="00634C6B"/>
    <w:rsid w:val="00640644"/>
    <w:rsid w:val="00640E8F"/>
    <w:rsid w:val="00647D6A"/>
    <w:rsid w:val="006A0285"/>
    <w:rsid w:val="006A20BE"/>
    <w:rsid w:val="006A4C84"/>
    <w:rsid w:val="006D6AE3"/>
    <w:rsid w:val="006F195E"/>
    <w:rsid w:val="0070394E"/>
    <w:rsid w:val="00714FDF"/>
    <w:rsid w:val="007F5389"/>
    <w:rsid w:val="00834468"/>
    <w:rsid w:val="008541F3"/>
    <w:rsid w:val="00864CDA"/>
    <w:rsid w:val="00870533"/>
    <w:rsid w:val="008A6FB5"/>
    <w:rsid w:val="008B7665"/>
    <w:rsid w:val="008D19C3"/>
    <w:rsid w:val="009130E5"/>
    <w:rsid w:val="009441B6"/>
    <w:rsid w:val="00962BCE"/>
    <w:rsid w:val="0096715F"/>
    <w:rsid w:val="0097074D"/>
    <w:rsid w:val="009B14E0"/>
    <w:rsid w:val="009C561B"/>
    <w:rsid w:val="00A05BBA"/>
    <w:rsid w:val="00A06E32"/>
    <w:rsid w:val="00A129E8"/>
    <w:rsid w:val="00A352B1"/>
    <w:rsid w:val="00A44B02"/>
    <w:rsid w:val="00A44E5D"/>
    <w:rsid w:val="00A45388"/>
    <w:rsid w:val="00A46208"/>
    <w:rsid w:val="00A778DF"/>
    <w:rsid w:val="00A908B0"/>
    <w:rsid w:val="00A93093"/>
    <w:rsid w:val="00AB1D4A"/>
    <w:rsid w:val="00AB70F9"/>
    <w:rsid w:val="00AC1807"/>
    <w:rsid w:val="00B167B2"/>
    <w:rsid w:val="00B35141"/>
    <w:rsid w:val="00B53EB5"/>
    <w:rsid w:val="00B705F3"/>
    <w:rsid w:val="00B72385"/>
    <w:rsid w:val="00B90180"/>
    <w:rsid w:val="00BB20E0"/>
    <w:rsid w:val="00BB2BF3"/>
    <w:rsid w:val="00BC6B30"/>
    <w:rsid w:val="00BD555D"/>
    <w:rsid w:val="00C179F5"/>
    <w:rsid w:val="00C374A1"/>
    <w:rsid w:val="00C4700C"/>
    <w:rsid w:val="00C64398"/>
    <w:rsid w:val="00C819EA"/>
    <w:rsid w:val="00CA0DCA"/>
    <w:rsid w:val="00CC26A2"/>
    <w:rsid w:val="00CD3190"/>
    <w:rsid w:val="00CD6993"/>
    <w:rsid w:val="00D01ADF"/>
    <w:rsid w:val="00D05D52"/>
    <w:rsid w:val="00D410FB"/>
    <w:rsid w:val="00D5143A"/>
    <w:rsid w:val="00D55C15"/>
    <w:rsid w:val="00DE6013"/>
    <w:rsid w:val="00DE632E"/>
    <w:rsid w:val="00DE7F55"/>
    <w:rsid w:val="00DF7B66"/>
    <w:rsid w:val="00E25A42"/>
    <w:rsid w:val="00E708C6"/>
    <w:rsid w:val="00E7284A"/>
    <w:rsid w:val="00E8092F"/>
    <w:rsid w:val="00E8501E"/>
    <w:rsid w:val="00E85EF9"/>
    <w:rsid w:val="00E876AE"/>
    <w:rsid w:val="00EB44B6"/>
    <w:rsid w:val="00EC6530"/>
    <w:rsid w:val="00ED06D6"/>
    <w:rsid w:val="00EF1E66"/>
    <w:rsid w:val="00F0340F"/>
    <w:rsid w:val="00F22286"/>
    <w:rsid w:val="00F31E67"/>
    <w:rsid w:val="00F37A8E"/>
    <w:rsid w:val="00F47CED"/>
    <w:rsid w:val="00F546C3"/>
    <w:rsid w:val="00F67AC6"/>
    <w:rsid w:val="00F961B1"/>
    <w:rsid w:val="00FA7E6D"/>
    <w:rsid w:val="00FB58AA"/>
    <w:rsid w:val="00FE7D12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95E"/>
  </w:style>
  <w:style w:type="paragraph" w:styleId="a5">
    <w:name w:val="footer"/>
    <w:basedOn w:val="a"/>
    <w:link w:val="a6"/>
    <w:uiPriority w:val="99"/>
    <w:unhideWhenUsed/>
    <w:rsid w:val="006F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95E"/>
  </w:style>
  <w:style w:type="paragraph" w:styleId="a7">
    <w:name w:val="List Paragraph"/>
    <w:basedOn w:val="a"/>
    <w:uiPriority w:val="34"/>
    <w:qFormat/>
    <w:rsid w:val="00714F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F78C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4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6E3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1E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95E"/>
  </w:style>
  <w:style w:type="paragraph" w:styleId="a5">
    <w:name w:val="footer"/>
    <w:basedOn w:val="a"/>
    <w:link w:val="a6"/>
    <w:uiPriority w:val="99"/>
    <w:unhideWhenUsed/>
    <w:rsid w:val="006F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95E"/>
  </w:style>
  <w:style w:type="paragraph" w:styleId="a7">
    <w:name w:val="List Paragraph"/>
    <w:basedOn w:val="a"/>
    <w:uiPriority w:val="34"/>
    <w:qFormat/>
    <w:rsid w:val="00714F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F78C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4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6E3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1E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B85D4CCA7D05FE4F009B5DB79A7579FEAD33E3E9CD1F59A0B0C493FF3C87C203AB518D02BAF14EC37AA89C7N0O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F34B-C3C4-4B62-9E67-323ABD09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</dc:creator>
  <cp:lastModifiedBy>User Windows</cp:lastModifiedBy>
  <cp:revision>11</cp:revision>
  <cp:lastPrinted>2024-01-23T08:28:00Z</cp:lastPrinted>
  <dcterms:created xsi:type="dcterms:W3CDTF">2024-01-22T08:41:00Z</dcterms:created>
  <dcterms:modified xsi:type="dcterms:W3CDTF">2024-01-29T04:10:00Z</dcterms:modified>
</cp:coreProperties>
</file>