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20" w:rsidRPr="00A62C20" w:rsidRDefault="00A62C20" w:rsidP="00A62C20">
      <w:pPr>
        <w:widowControl w:val="0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 w:rsidRPr="00A62C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ПИРОВСКОГО</w:t>
      </w:r>
      <w:r w:rsidRPr="00A62C2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МУНИЦИПАЛЬНОГО ОКРУГА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КРАСНОЯРСКОГО КРАЯ</w:t>
      </w:r>
    </w:p>
    <w:p w:rsidR="00707CED" w:rsidRDefault="00F65747"/>
    <w:p w:rsidR="0003180C" w:rsidRDefault="0003180C"/>
    <w:p w:rsidR="0003180C" w:rsidRDefault="0003180C"/>
    <w:p w:rsidR="0003180C" w:rsidRDefault="0003180C"/>
    <w:p w:rsidR="0003180C" w:rsidRDefault="0003180C"/>
    <w:p w:rsidR="0003180C" w:rsidRDefault="0003180C"/>
    <w:p w:rsidR="0003180C" w:rsidRDefault="0003180C"/>
    <w:p w:rsidR="0003180C" w:rsidRDefault="0003180C"/>
    <w:p w:rsidR="0003180C" w:rsidRPr="0003180C" w:rsidRDefault="0003180C" w:rsidP="0003180C">
      <w:pPr>
        <w:widowControl w:val="0"/>
        <w:spacing w:after="0" w:line="413" w:lineRule="exac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  <w:lang w:eastAsia="ru-RU" w:bidi="ru-RU"/>
        </w:rPr>
      </w:pPr>
      <w:bookmarkStart w:id="0" w:name="bookmark0"/>
      <w:r w:rsidRPr="0003180C"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  <w:lang w:eastAsia="ru-RU" w:bidi="ru-RU"/>
        </w:rPr>
        <w:t xml:space="preserve">Сводный отчет об оценке налоговых расходов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  <w:lang w:eastAsia="ru-RU" w:bidi="ru-RU"/>
        </w:rPr>
        <w:t xml:space="preserve">Пировского </w:t>
      </w:r>
      <w:r w:rsidRPr="0003180C"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  <w:lang w:eastAsia="ru-RU" w:bidi="ru-RU"/>
        </w:rPr>
        <w:t xml:space="preserve"> </w:t>
      </w:r>
      <w:bookmarkEnd w:id="0"/>
      <w:r w:rsidR="008E5212"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  <w:lang w:eastAsia="ru-RU" w:bidi="ru-RU"/>
        </w:rPr>
        <w:t xml:space="preserve"> муниципального округа</w:t>
      </w:r>
      <w:r w:rsidR="0085533E"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  <w:lang w:eastAsia="ru-RU" w:bidi="ru-RU"/>
        </w:rPr>
        <w:t xml:space="preserve"> </w:t>
      </w:r>
      <w:proofErr w:type="gramStart"/>
      <w:r w:rsidR="0085533E"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  <w:lang w:eastAsia="ru-RU" w:bidi="ru-RU"/>
        </w:rPr>
        <w:t>за  202</w:t>
      </w:r>
      <w:r w:rsidR="00561032"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  <w:lang w:eastAsia="ru-RU" w:bidi="ru-RU"/>
        </w:rPr>
        <w:t>2</w:t>
      </w:r>
      <w:proofErr w:type="gramEnd"/>
      <w:r w:rsidR="0085533E"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  <w:lang w:eastAsia="ru-RU" w:bidi="ru-RU"/>
        </w:rPr>
        <w:t xml:space="preserve"> год </w:t>
      </w:r>
      <w:r w:rsidR="008E5212">
        <w:rPr>
          <w:rFonts w:ascii="Times New Roman" w:eastAsia="Times New Roman" w:hAnsi="Times New Roman" w:cs="Times New Roman"/>
          <w:b/>
          <w:bCs/>
          <w:color w:val="000000"/>
          <w:spacing w:val="5"/>
          <w:sz w:val="32"/>
          <w:szCs w:val="32"/>
          <w:lang w:eastAsia="ru-RU" w:bidi="ru-RU"/>
        </w:rPr>
        <w:t>.</w:t>
      </w:r>
    </w:p>
    <w:p w:rsidR="0003180C" w:rsidRDefault="0003180C"/>
    <w:p w:rsidR="0003180C" w:rsidRDefault="0003180C"/>
    <w:p w:rsidR="0003180C" w:rsidRDefault="0003180C"/>
    <w:p w:rsidR="0003180C" w:rsidRDefault="0003180C"/>
    <w:p w:rsidR="0003180C" w:rsidRDefault="0003180C"/>
    <w:p w:rsidR="0003180C" w:rsidRDefault="0003180C"/>
    <w:p w:rsidR="0003180C" w:rsidRDefault="0003180C"/>
    <w:p w:rsidR="0003180C" w:rsidRDefault="0003180C"/>
    <w:p w:rsidR="0003180C" w:rsidRDefault="0003180C"/>
    <w:p w:rsidR="0003180C" w:rsidRDefault="0003180C"/>
    <w:p w:rsidR="0003180C" w:rsidRDefault="0003180C"/>
    <w:p w:rsidR="0003180C" w:rsidRDefault="0003180C"/>
    <w:p w:rsidR="0003180C" w:rsidRDefault="0003180C"/>
    <w:p w:rsidR="0003180C" w:rsidRDefault="0003180C"/>
    <w:p w:rsidR="007308AC" w:rsidRPr="0003180C" w:rsidRDefault="00CA7AA6" w:rsidP="007308AC">
      <w:pPr>
        <w:widowControl w:val="0"/>
        <w:spacing w:after="0" w:line="322" w:lineRule="exact"/>
        <w:ind w:right="20"/>
        <w:jc w:val="righ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Оценку провела</w:t>
      </w:r>
      <w:r w:rsidR="007308AC" w:rsidRPr="000318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:</w:t>
      </w:r>
      <w:r w:rsidR="007308AC" w:rsidRPr="000318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br/>
      </w:r>
      <w:r w:rsidR="007308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начальник ФО администрации</w:t>
      </w:r>
      <w:r w:rsidR="007308AC" w:rsidRPr="000318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br/>
      </w:r>
      <w:r w:rsidR="007308A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Пировского</w:t>
      </w:r>
      <w:r w:rsidR="007308AC" w:rsidRPr="000318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 xml:space="preserve"> муниципального округа</w:t>
      </w:r>
    </w:p>
    <w:p w:rsidR="007308AC" w:rsidRPr="0003180C" w:rsidRDefault="007308AC" w:rsidP="007308AC">
      <w:pPr>
        <w:widowControl w:val="0"/>
        <w:spacing w:after="0" w:line="322" w:lineRule="exact"/>
        <w:ind w:left="20" w:right="20"/>
        <w:jc w:val="right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 w:bidi="ru-RU"/>
        </w:rPr>
        <w:t>О.В.Федорова</w:t>
      </w:r>
      <w:proofErr w:type="spellEnd"/>
    </w:p>
    <w:p w:rsidR="007308AC" w:rsidRDefault="007308AC" w:rsidP="007308AC">
      <w:pPr>
        <w:jc w:val="right"/>
      </w:pPr>
    </w:p>
    <w:p w:rsidR="0085533E" w:rsidRDefault="0085533E" w:rsidP="007308AC"/>
    <w:p w:rsidR="0085533E" w:rsidRDefault="0085533E" w:rsidP="0003180C">
      <w:pPr>
        <w:jc w:val="center"/>
      </w:pPr>
    </w:p>
    <w:p w:rsidR="0003180C" w:rsidRDefault="0085533E" w:rsidP="0003180C">
      <w:pPr>
        <w:jc w:val="center"/>
      </w:pPr>
      <w:r>
        <w:t>Сентябрь 202</w:t>
      </w:r>
      <w:r w:rsidR="00561032">
        <w:t>3</w:t>
      </w:r>
      <w:r w:rsidR="0003180C">
        <w:t xml:space="preserve"> год</w:t>
      </w:r>
    </w:p>
    <w:p w:rsidR="0085533E" w:rsidRDefault="0085533E" w:rsidP="00727849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5533E" w:rsidRDefault="0085533E" w:rsidP="00727849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5533E" w:rsidRDefault="0085533E" w:rsidP="0085533E">
      <w:pPr>
        <w:pStyle w:val="a4"/>
        <w:widowControl w:val="0"/>
        <w:numPr>
          <w:ilvl w:val="0"/>
          <w:numId w:val="15"/>
        </w:numPr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Ведение</w:t>
      </w:r>
    </w:p>
    <w:p w:rsidR="00520F3D" w:rsidRPr="00520F3D" w:rsidRDefault="00520F3D" w:rsidP="00520F3D">
      <w:pPr>
        <w:widowControl w:val="0"/>
        <w:spacing w:after="0" w:line="322" w:lineRule="exact"/>
        <w:ind w:left="360"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85533E" w:rsidRDefault="0085533E" w:rsidP="00727849">
      <w:pPr>
        <w:widowControl w:val="0"/>
        <w:spacing w:after="0" w:line="322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520F3D" w:rsidRPr="00520F3D" w:rsidRDefault="00520F3D" w:rsidP="00520F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20F3D">
        <w:rPr>
          <w:rFonts w:ascii="Times New Roman" w:eastAsia="Calibri" w:hAnsi="Times New Roman" w:cs="Times New Roman"/>
          <w:sz w:val="28"/>
        </w:rPr>
        <w:t xml:space="preserve">В настоящем отчете приведены сводные результаты оценки налоговых расходов </w:t>
      </w:r>
      <w:r>
        <w:rPr>
          <w:rFonts w:ascii="Times New Roman" w:eastAsia="Calibri" w:hAnsi="Times New Roman" w:cs="Times New Roman"/>
          <w:sz w:val="28"/>
        </w:rPr>
        <w:t>Пировского</w:t>
      </w:r>
      <w:r w:rsidRPr="00520F3D">
        <w:rPr>
          <w:rFonts w:ascii="Times New Roman" w:eastAsia="Calibri" w:hAnsi="Times New Roman" w:cs="Times New Roman"/>
          <w:sz w:val="28"/>
        </w:rPr>
        <w:t xml:space="preserve"> муниципального округа за 202</w:t>
      </w:r>
      <w:r w:rsidR="00445582">
        <w:rPr>
          <w:rFonts w:ascii="Times New Roman" w:eastAsia="Calibri" w:hAnsi="Times New Roman" w:cs="Times New Roman"/>
          <w:sz w:val="28"/>
        </w:rPr>
        <w:t>2</w:t>
      </w:r>
      <w:r w:rsidRPr="00520F3D">
        <w:rPr>
          <w:rFonts w:ascii="Times New Roman" w:eastAsia="Calibri" w:hAnsi="Times New Roman" w:cs="Times New Roman"/>
          <w:sz w:val="28"/>
        </w:rPr>
        <w:t xml:space="preserve"> год.</w:t>
      </w:r>
    </w:p>
    <w:p w:rsidR="00520F3D" w:rsidRPr="00520F3D" w:rsidRDefault="00520F3D" w:rsidP="00520F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20F3D">
        <w:rPr>
          <w:rFonts w:ascii="Times New Roman" w:eastAsia="Calibri" w:hAnsi="Times New Roman" w:cs="Times New Roman"/>
          <w:sz w:val="28"/>
        </w:rPr>
        <w:t>В соответствии со ст. 6 Бюджетного кодекса Российской Федерации налоговые расходы публично-правового образования – это выпадающие доходы бюджетов бюджетной системы Российской Федерации, обусловленные налоговыми льготами, освобождениями и иными преференциями по налогам, сборам, таможенным платежам, страховым взносам на обязательное социальное страхование, предусмотренными в качестве мер государственной (муниципальной) поддержки в соответствии с целями государственных (муниципальных) программ и (или) целями социально-экономической политики публично-правового образования, не относящимися к государственным (муниципальным) программам.</w:t>
      </w:r>
    </w:p>
    <w:p w:rsidR="00520F3D" w:rsidRPr="00520F3D" w:rsidRDefault="00520F3D" w:rsidP="00520F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520F3D">
        <w:rPr>
          <w:rFonts w:ascii="Times New Roman" w:eastAsia="Calibri" w:hAnsi="Times New Roman" w:cs="Times New Roman"/>
          <w:sz w:val="28"/>
        </w:rPr>
        <w:t xml:space="preserve">В настоящем отчете приведены сведения о налоговых расходах бюджета </w:t>
      </w:r>
      <w:r>
        <w:rPr>
          <w:rFonts w:ascii="Times New Roman" w:eastAsia="Calibri" w:hAnsi="Times New Roman" w:cs="Times New Roman"/>
          <w:sz w:val="28"/>
        </w:rPr>
        <w:t>Пировского</w:t>
      </w:r>
      <w:r w:rsidRPr="00520F3D">
        <w:rPr>
          <w:rFonts w:ascii="Times New Roman" w:eastAsia="Calibri" w:hAnsi="Times New Roman" w:cs="Times New Roman"/>
          <w:sz w:val="28"/>
        </w:rPr>
        <w:t xml:space="preserve"> муниципального округа, обусловленных налоговыми льготами, освобождениями и иными преференциями по налогам, установленными нормативно-правовыми актами </w:t>
      </w:r>
      <w:r>
        <w:rPr>
          <w:rFonts w:ascii="Times New Roman" w:eastAsia="Calibri" w:hAnsi="Times New Roman" w:cs="Times New Roman"/>
          <w:sz w:val="28"/>
        </w:rPr>
        <w:t>Пировского</w:t>
      </w:r>
      <w:r w:rsidRPr="00520F3D">
        <w:rPr>
          <w:rFonts w:ascii="Times New Roman" w:eastAsia="Calibri" w:hAnsi="Times New Roman" w:cs="Times New Roman"/>
          <w:sz w:val="28"/>
        </w:rPr>
        <w:t xml:space="preserve"> муниципального округа, действовавшими в 202</w:t>
      </w:r>
      <w:r w:rsidR="00445582">
        <w:rPr>
          <w:rFonts w:ascii="Times New Roman" w:eastAsia="Calibri" w:hAnsi="Times New Roman" w:cs="Times New Roman"/>
          <w:sz w:val="28"/>
        </w:rPr>
        <w:t>2</w:t>
      </w:r>
      <w:r w:rsidRPr="00520F3D">
        <w:rPr>
          <w:rFonts w:ascii="Times New Roman" w:eastAsia="Calibri" w:hAnsi="Times New Roman" w:cs="Times New Roman"/>
          <w:sz w:val="28"/>
        </w:rPr>
        <w:t xml:space="preserve"> году.</w:t>
      </w:r>
    </w:p>
    <w:p w:rsidR="00520F3D" w:rsidRPr="00520F3D" w:rsidRDefault="00520F3D" w:rsidP="00520F3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727849" w:rsidRPr="009A6AC7" w:rsidRDefault="00727849" w:rsidP="009641E3">
      <w:pPr>
        <w:widowControl w:val="0"/>
        <w:spacing w:after="360" w:line="355" w:lineRule="exact"/>
        <w:ind w:right="80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>Результаты оценки эффективности налоговых расходов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9A6AC7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 xml:space="preserve">муниципального образования </w:t>
      </w:r>
      <w:proofErr w:type="spellStart"/>
      <w:r w:rsidRPr="009A6AC7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>Пировский</w:t>
      </w:r>
      <w:proofErr w:type="spellEnd"/>
      <w:r w:rsidRPr="009A6AC7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 xml:space="preserve"> </w:t>
      </w:r>
      <w:proofErr w:type="gramStart"/>
      <w:r w:rsidRPr="009A6AC7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>муниципальный  округ</w:t>
      </w:r>
      <w:proofErr w:type="gramEnd"/>
      <w:r w:rsidRPr="009A6AC7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 xml:space="preserve">  за 202</w:t>
      </w:r>
      <w:r w:rsidR="0044558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>2</w:t>
      </w:r>
      <w:r w:rsidR="009641E3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 xml:space="preserve"> год.</w:t>
      </w:r>
    </w:p>
    <w:p w:rsidR="00727849" w:rsidRPr="009A6AC7" w:rsidRDefault="00727849" w:rsidP="00727849">
      <w:pPr>
        <w:widowControl w:val="0"/>
        <w:spacing w:after="0" w:line="355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Оценка эффективности налоговых расходов за 202</w:t>
      </w:r>
      <w:r w:rsidR="004455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2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год проведена в соответствии с основными положениями постановления Правительства Российской Федерации от 22.06.2019 № 796 «Об общих требованиях к оценке налоговых расходов субъектов Российской Федерации и муниципальных образований», Порядком </w:t>
      </w:r>
      <w:r w:rsidR="006512B2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формирования перечня налоговых расходов</w:t>
      </w:r>
      <w:r w:rsidR="006512B2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и оценки налоговых расходов муниципального образования </w:t>
      </w:r>
      <w:proofErr w:type="spellStart"/>
      <w:r w:rsidR="006512B2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Пировский</w:t>
      </w:r>
      <w:proofErr w:type="spellEnd"/>
      <w:r w:rsidR="006512B2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район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, утвержденным постановлением администрации </w:t>
      </w:r>
      <w:r w:rsidR="006512B2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Пировского района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от </w:t>
      </w:r>
      <w:r w:rsidR="006512B2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10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.</w:t>
      </w:r>
      <w:r w:rsidR="006512B2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02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.20</w:t>
      </w:r>
      <w:r w:rsidR="006512B2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20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9A6AC7"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  <w:lang w:eastAsia="ru-RU" w:bidi="ru-RU"/>
        </w:rPr>
        <w:t>№</w:t>
      </w:r>
      <w:r w:rsidR="006512B2" w:rsidRPr="009A6AC7"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  <w:lang w:eastAsia="ru-RU" w:bidi="ru-RU"/>
        </w:rPr>
        <w:t xml:space="preserve">     43-п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(далее - Порядок </w:t>
      </w:r>
      <w:r w:rsidRPr="009A6AC7">
        <w:rPr>
          <w:rFonts w:ascii="Times New Roman" w:eastAsia="Times New Roman" w:hAnsi="Times New Roman" w:cs="Times New Roman"/>
          <w:color w:val="000000"/>
          <w:spacing w:val="-33"/>
          <w:sz w:val="28"/>
          <w:szCs w:val="28"/>
          <w:lang w:eastAsia="ru-RU" w:bidi="ru-RU"/>
        </w:rPr>
        <w:t>№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="006512B2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43-п).</w:t>
      </w:r>
    </w:p>
    <w:p w:rsidR="00727849" w:rsidRPr="009A6AC7" w:rsidRDefault="00727849" w:rsidP="00391370">
      <w:pPr>
        <w:widowControl w:val="0"/>
        <w:spacing w:after="0" w:line="36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Для проведения оценки эффективности налоговых расходов муниципального образования использовались статистические данные налоговой отчетности, представленные Межрайонной ИФНС России № </w:t>
      </w:r>
      <w:r w:rsidR="004455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17 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по </w:t>
      </w:r>
      <w:r w:rsidR="006512B2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Красноярскому краю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.</w:t>
      </w:r>
      <w:r w:rsidR="003913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В соответствии с Порядком № </w:t>
      </w:r>
      <w:r w:rsidR="006512B2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43-п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сформирован перечень налоговых расходов муниципального </w:t>
      </w:r>
      <w:proofErr w:type="gramStart"/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образования</w:t>
      </w:r>
      <w:r w:rsidR="005E62B4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,</w:t>
      </w:r>
      <w:proofErr w:type="gramEnd"/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действовавших в 20</w:t>
      </w:r>
      <w:r w:rsidR="006512B2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2</w:t>
      </w:r>
      <w:r w:rsidR="004455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2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году</w:t>
      </w:r>
      <w:r w:rsidR="003913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.</w:t>
      </w:r>
      <w:r w:rsidR="005E62B4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В зависимости от целевой категории определены основные виды налоговых расходов на территории муниципального образования </w:t>
      </w:r>
      <w:proofErr w:type="spellStart"/>
      <w:r w:rsidR="005E62B4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Пировский</w:t>
      </w:r>
      <w:proofErr w:type="spellEnd"/>
      <w:r w:rsidR="005E62B4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="009641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муниципальный округ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: социальные и технические.</w:t>
      </w:r>
    </w:p>
    <w:p w:rsidR="00727849" w:rsidRPr="009A6AC7" w:rsidRDefault="00727849" w:rsidP="00727849">
      <w:pPr>
        <w:widowControl w:val="0"/>
        <w:spacing w:after="0" w:line="36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lastRenderedPageBreak/>
        <w:t>В ходе проведения оценки эффективности налоговых расходов осуществлялась оценка целесообразности и их результативности.</w:t>
      </w:r>
    </w:p>
    <w:p w:rsidR="009A6AC7" w:rsidRDefault="00727849" w:rsidP="00727849">
      <w:pPr>
        <w:widowControl w:val="0"/>
        <w:spacing w:after="0" w:line="36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Оценка эффективности налоговых расходов проводится в целях минимизации риска предоставления неэффективных налоговых расходов. </w:t>
      </w:r>
    </w:p>
    <w:p w:rsidR="00727849" w:rsidRPr="009A6AC7" w:rsidRDefault="00727849" w:rsidP="00727849">
      <w:pPr>
        <w:widowControl w:val="0"/>
        <w:spacing w:after="0" w:line="36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Результаты оценки учитываются при формировании основных направлений бюджетной и налоговой политики муниципального образования</w:t>
      </w:r>
      <w:r w:rsidR="00376D67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.</w:t>
      </w:r>
    </w:p>
    <w:p w:rsidR="007C4681" w:rsidRPr="009A6AC7" w:rsidRDefault="007C4681" w:rsidP="007C4681">
      <w:pPr>
        <w:widowControl w:val="0"/>
        <w:spacing w:after="0" w:line="36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p w:rsidR="007C4681" w:rsidRPr="009A6AC7" w:rsidRDefault="007C4681" w:rsidP="007C4681">
      <w:pPr>
        <w:widowControl w:val="0"/>
        <w:spacing w:after="0" w:line="36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Объем налоговых и неналоговых </w:t>
      </w:r>
      <w:proofErr w:type="gramStart"/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доходов  бюджета</w:t>
      </w:r>
      <w:proofErr w:type="gramEnd"/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Пировского </w:t>
      </w:r>
      <w:r w:rsidR="009641E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округа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в 202</w:t>
      </w:r>
      <w:r w:rsidR="004455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2</w:t>
      </w:r>
      <w:r w:rsidR="000A6CD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году составил </w:t>
      </w:r>
      <w:r w:rsidR="00DD7B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6</w:t>
      </w:r>
      <w:r w:rsidR="004015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9040</w:t>
      </w:r>
      <w:r w:rsidR="00DD7B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,</w:t>
      </w:r>
      <w:r w:rsidR="004015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1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тыс. рублей, из них: земельный налог </w:t>
      </w:r>
      <w:r w:rsidR="004A770E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–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="00DD7B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2</w:t>
      </w:r>
      <w:r w:rsidR="004015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215,1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тыс. рублей; налог на имущество физических лиц </w:t>
      </w:r>
      <w:r w:rsidR="004A770E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–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="004015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517,4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тыс. рублей.</w:t>
      </w:r>
    </w:p>
    <w:p w:rsidR="007C4681" w:rsidRPr="009A6AC7" w:rsidRDefault="007C4681" w:rsidP="007C4681">
      <w:pPr>
        <w:widowControl w:val="0"/>
        <w:spacing w:after="0" w:line="36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Объем налоговых расходов в 202</w:t>
      </w:r>
      <w:r w:rsidR="004015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2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году по данным Межрайонной ИФНС России № </w:t>
      </w:r>
      <w:r w:rsidR="0040150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17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по Красноярскому краю составил </w:t>
      </w:r>
      <w:r w:rsidR="006A12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844</w:t>
      </w:r>
      <w:r w:rsidR="005B149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,</w:t>
      </w:r>
      <w:r w:rsidR="00BE5C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00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тыс. рублей. Их доля в объеме налоговых и неналоговых доходов бюджета </w:t>
      </w:r>
      <w:r w:rsidR="004A770E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Пировского </w:t>
      </w:r>
      <w:r w:rsidR="00DD7B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округа</w:t>
      </w:r>
      <w:r w:rsidR="004A770E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0E539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в отчетном году составила </w:t>
      </w:r>
      <w:r w:rsidR="006A4E66" w:rsidRPr="000E539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1,</w:t>
      </w:r>
      <w:r w:rsidR="006A12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2</w:t>
      </w:r>
      <w:r w:rsidR="00C14A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0E539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%.</w:t>
      </w:r>
    </w:p>
    <w:p w:rsidR="007C4681" w:rsidRPr="009A6AC7" w:rsidRDefault="007C4681" w:rsidP="007C4681">
      <w:pPr>
        <w:widowControl w:val="0"/>
        <w:spacing w:after="0" w:line="36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Информация о структуре налоговых расходов за период 20</w:t>
      </w:r>
      <w:r w:rsidR="002128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2</w:t>
      </w:r>
      <w:r w:rsidR="00C14A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1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-20</w:t>
      </w:r>
      <w:r w:rsidR="004A770E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2</w:t>
      </w:r>
      <w:r w:rsidR="00C14A4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2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годов представлена в таблицах 1, 2.</w:t>
      </w:r>
    </w:p>
    <w:p w:rsidR="00C14A4F" w:rsidRDefault="00D234C0" w:rsidP="00D234C0">
      <w:pPr>
        <w:rPr>
          <w:rFonts w:ascii="Times New Roman" w:hAnsi="Times New Roman" w:cs="Times New Roman"/>
          <w:sz w:val="28"/>
          <w:szCs w:val="28"/>
        </w:rPr>
      </w:pPr>
      <w:r w:rsidRPr="009A6AC7">
        <w:rPr>
          <w:rFonts w:ascii="Times New Roman" w:hAnsi="Times New Roman" w:cs="Times New Roman"/>
          <w:sz w:val="28"/>
          <w:szCs w:val="28"/>
        </w:rPr>
        <w:t>Структура налоговых расходов по земельному налогу за период 20</w:t>
      </w:r>
      <w:r w:rsidR="002128B2">
        <w:rPr>
          <w:rFonts w:ascii="Times New Roman" w:hAnsi="Times New Roman" w:cs="Times New Roman"/>
          <w:sz w:val="28"/>
          <w:szCs w:val="28"/>
        </w:rPr>
        <w:t>2</w:t>
      </w:r>
      <w:r w:rsidR="00C14A4F">
        <w:rPr>
          <w:rFonts w:ascii="Times New Roman" w:hAnsi="Times New Roman" w:cs="Times New Roman"/>
          <w:sz w:val="28"/>
          <w:szCs w:val="28"/>
        </w:rPr>
        <w:t>1</w:t>
      </w:r>
      <w:r w:rsidRPr="009A6AC7">
        <w:rPr>
          <w:rFonts w:ascii="Times New Roman" w:hAnsi="Times New Roman" w:cs="Times New Roman"/>
          <w:sz w:val="28"/>
          <w:szCs w:val="28"/>
        </w:rPr>
        <w:t>-202</w:t>
      </w:r>
      <w:r w:rsidR="00C14A4F">
        <w:rPr>
          <w:rFonts w:ascii="Times New Roman" w:hAnsi="Times New Roman" w:cs="Times New Roman"/>
          <w:sz w:val="28"/>
          <w:szCs w:val="28"/>
        </w:rPr>
        <w:t>2</w:t>
      </w:r>
      <w:r w:rsidRPr="009A6AC7">
        <w:rPr>
          <w:rFonts w:ascii="Times New Roman" w:hAnsi="Times New Roman" w:cs="Times New Roman"/>
          <w:sz w:val="28"/>
          <w:szCs w:val="28"/>
        </w:rPr>
        <w:t xml:space="preserve"> годов (табл.1)</w:t>
      </w:r>
      <w:r w:rsidR="009A6A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D234C0" w:rsidRPr="009A6AC7" w:rsidRDefault="009A6AC7" w:rsidP="00C14A4F">
      <w:pPr>
        <w:ind w:left="708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Таблица 1</w:t>
      </w:r>
    </w:p>
    <w:tbl>
      <w:tblPr>
        <w:tblStyle w:val="a3"/>
        <w:tblW w:w="9734" w:type="dxa"/>
        <w:tblLook w:val="04A0" w:firstRow="1" w:lastRow="0" w:firstColumn="1" w:lastColumn="0" w:noHBand="0" w:noVBand="1"/>
      </w:tblPr>
      <w:tblGrid>
        <w:gridCol w:w="4300"/>
        <w:gridCol w:w="1422"/>
        <w:gridCol w:w="1295"/>
        <w:gridCol w:w="1422"/>
        <w:gridCol w:w="1295"/>
      </w:tblGrid>
      <w:tr w:rsidR="002128B2" w:rsidRPr="009A6AC7" w:rsidTr="002128B2">
        <w:trPr>
          <w:trHeight w:val="309"/>
        </w:trPr>
        <w:tc>
          <w:tcPr>
            <w:tcW w:w="4300" w:type="dxa"/>
            <w:vMerge w:val="restart"/>
          </w:tcPr>
          <w:p w:rsidR="002128B2" w:rsidRPr="009A6AC7" w:rsidRDefault="002128B2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717" w:type="dxa"/>
            <w:gridSpan w:val="2"/>
          </w:tcPr>
          <w:p w:rsidR="002128B2" w:rsidRPr="009A6AC7" w:rsidRDefault="002128B2" w:rsidP="005B1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B14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17" w:type="dxa"/>
            <w:gridSpan w:val="2"/>
          </w:tcPr>
          <w:p w:rsidR="002128B2" w:rsidRPr="009A6AC7" w:rsidRDefault="002128B2" w:rsidP="005B1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B14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128B2" w:rsidRPr="009A6AC7" w:rsidTr="002128B2">
        <w:trPr>
          <w:trHeight w:val="648"/>
        </w:trPr>
        <w:tc>
          <w:tcPr>
            <w:tcW w:w="4300" w:type="dxa"/>
            <w:vMerge/>
          </w:tcPr>
          <w:p w:rsidR="002128B2" w:rsidRPr="009A6AC7" w:rsidRDefault="002128B2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2128B2" w:rsidRPr="009A6AC7" w:rsidRDefault="002128B2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94" w:type="dxa"/>
          </w:tcPr>
          <w:p w:rsidR="002128B2" w:rsidRPr="009A6AC7" w:rsidRDefault="002128B2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22" w:type="dxa"/>
          </w:tcPr>
          <w:p w:rsidR="002128B2" w:rsidRPr="009A6AC7" w:rsidRDefault="002128B2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294" w:type="dxa"/>
          </w:tcPr>
          <w:p w:rsidR="002128B2" w:rsidRPr="009A6AC7" w:rsidRDefault="002128B2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128B2" w:rsidRPr="009A6AC7" w:rsidTr="002128B2">
        <w:trPr>
          <w:trHeight w:val="1252"/>
        </w:trPr>
        <w:tc>
          <w:tcPr>
            <w:tcW w:w="4300" w:type="dxa"/>
          </w:tcPr>
          <w:p w:rsidR="002128B2" w:rsidRPr="009A6AC7" w:rsidRDefault="002128B2" w:rsidP="006A4E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Предоставленные налоговые льготы всего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22" w:type="dxa"/>
          </w:tcPr>
          <w:p w:rsidR="002128B2" w:rsidRPr="009A6AC7" w:rsidRDefault="006A12EB" w:rsidP="006A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676</w:t>
            </w:r>
            <w:r w:rsidR="00310677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950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4" w:type="dxa"/>
          </w:tcPr>
          <w:p w:rsidR="002128B2" w:rsidRPr="009A6AC7" w:rsidRDefault="002128B2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22" w:type="dxa"/>
          </w:tcPr>
          <w:p w:rsidR="002128B2" w:rsidRPr="009A6AC7" w:rsidRDefault="00595096" w:rsidP="006A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12EB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  <w:r w:rsidR="00310677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94" w:type="dxa"/>
          </w:tcPr>
          <w:p w:rsidR="002128B2" w:rsidRPr="009A6AC7" w:rsidRDefault="002128B2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128B2" w:rsidRPr="009A6AC7" w:rsidTr="002128B2">
        <w:trPr>
          <w:trHeight w:val="2845"/>
        </w:trPr>
        <w:tc>
          <w:tcPr>
            <w:tcW w:w="4300" w:type="dxa"/>
          </w:tcPr>
          <w:p w:rsidR="002128B2" w:rsidRPr="009A6AC7" w:rsidRDefault="002128B2" w:rsidP="00C16B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Технические налоговые расходы (ЗН ЮЛ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 xml:space="preserve"> (направленные на исключение встречных финансовых потоков)</w:t>
            </w:r>
          </w:p>
        </w:tc>
        <w:tc>
          <w:tcPr>
            <w:tcW w:w="1422" w:type="dxa"/>
          </w:tcPr>
          <w:p w:rsidR="002128B2" w:rsidRPr="009A6AC7" w:rsidRDefault="00595096" w:rsidP="00595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676,00</w:t>
            </w:r>
          </w:p>
        </w:tc>
        <w:tc>
          <w:tcPr>
            <w:tcW w:w="1294" w:type="dxa"/>
          </w:tcPr>
          <w:p w:rsidR="002128B2" w:rsidRPr="009A6AC7" w:rsidRDefault="006A12EB" w:rsidP="006A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22" w:type="dxa"/>
          </w:tcPr>
          <w:p w:rsidR="002128B2" w:rsidRPr="009A6AC7" w:rsidRDefault="00595096" w:rsidP="006A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6A12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128B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  <w:tc>
          <w:tcPr>
            <w:tcW w:w="1294" w:type="dxa"/>
          </w:tcPr>
          <w:p w:rsidR="002128B2" w:rsidRPr="009A6AC7" w:rsidRDefault="006A12EB" w:rsidP="006A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128B2" w:rsidRPr="009A6AC7" w:rsidTr="002128B2">
        <w:trPr>
          <w:trHeight w:val="1886"/>
        </w:trPr>
        <w:tc>
          <w:tcPr>
            <w:tcW w:w="4300" w:type="dxa"/>
          </w:tcPr>
          <w:p w:rsidR="002128B2" w:rsidRPr="009A6AC7" w:rsidRDefault="002128B2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Социальные налоговые расходы (ЗН </w:t>
            </w:r>
            <w:proofErr w:type="spellStart"/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)(имеющие социальную направленность)</w:t>
            </w:r>
          </w:p>
        </w:tc>
        <w:tc>
          <w:tcPr>
            <w:tcW w:w="1422" w:type="dxa"/>
          </w:tcPr>
          <w:p w:rsidR="002128B2" w:rsidRPr="009A6AC7" w:rsidRDefault="006A12EB" w:rsidP="006A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94" w:type="dxa"/>
          </w:tcPr>
          <w:p w:rsidR="002128B2" w:rsidRPr="009A6AC7" w:rsidRDefault="002128B2" w:rsidP="006A12E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2" w:type="dxa"/>
          </w:tcPr>
          <w:p w:rsidR="002128B2" w:rsidRPr="009A6AC7" w:rsidRDefault="006A12EB" w:rsidP="006A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="009F0B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94" w:type="dxa"/>
          </w:tcPr>
          <w:p w:rsidR="002128B2" w:rsidRPr="009A6AC7" w:rsidRDefault="002128B2" w:rsidP="005950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34C0" w:rsidRPr="009A6AC7" w:rsidRDefault="00D234C0" w:rsidP="00D234C0">
      <w:pPr>
        <w:widowControl w:val="0"/>
        <w:spacing w:after="0" w:line="365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lastRenderedPageBreak/>
        <w:t xml:space="preserve">По данным МРИ ФНС России № </w:t>
      </w:r>
      <w:r w:rsidR="00C876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17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по Красноярскому краю, сумма земельного налога, не поступившая в бюджет </w:t>
      </w:r>
      <w:r w:rsidR="00BE5C1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округа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в 202</w:t>
      </w:r>
      <w:r w:rsidR="00C8769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2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году в связи с предоставлением льгот отдельным категориям плательщиков составила </w:t>
      </w:r>
      <w:r w:rsidR="009863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944</w:t>
      </w:r>
      <w:r w:rsidR="003106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,0</w:t>
      </w:r>
      <w:r w:rsidR="009863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0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тыс. руб., из них по физическим лицам – </w:t>
      </w:r>
      <w:r w:rsidR="006A12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0</w:t>
      </w:r>
      <w:r w:rsidR="009863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,</w:t>
      </w:r>
      <w:r w:rsidR="003106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00 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тыс. руб., юридическим лицам -</w:t>
      </w:r>
      <w:r w:rsidR="009863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79</w:t>
      </w:r>
      <w:r w:rsidR="006A12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1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,0</w:t>
      </w:r>
      <w:r w:rsidR="00C16B5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0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тыс. руб.</w:t>
      </w:r>
    </w:p>
    <w:p w:rsidR="00D234C0" w:rsidRDefault="006A12EB" w:rsidP="00D234C0">
      <w:pPr>
        <w:widowControl w:val="0"/>
        <w:spacing w:after="0" w:line="365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Весь</w:t>
      </w:r>
      <w:r w:rsidR="000047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="00D234C0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объем</w:t>
      </w:r>
      <w:proofErr w:type="gramEnd"/>
      <w:r w:rsidR="00D234C0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налоговых расходов по земельному налогу в 202</w:t>
      </w:r>
      <w:r w:rsidR="0098637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2</w:t>
      </w:r>
      <w:r w:rsidR="00D234C0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году </w:t>
      </w:r>
      <w:r w:rsidR="000047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занимают</w:t>
      </w:r>
      <w:r w:rsidR="00D234C0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технические налоговые расходы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100 </w:t>
      </w:r>
      <w:r w:rsidR="00D234C0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%). Льготной категорией </w:t>
      </w:r>
      <w:r w:rsidR="000047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являются </w:t>
      </w:r>
      <w:proofErr w:type="spellStart"/>
      <w:proofErr w:type="gramStart"/>
      <w:r w:rsidR="000047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учреждения,созданные</w:t>
      </w:r>
      <w:proofErr w:type="spellEnd"/>
      <w:proofErr w:type="gramEnd"/>
      <w:r w:rsidR="0000479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органами местного самоуправления</w:t>
      </w:r>
      <w:r w:rsidR="00D234C0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муниципального образования </w:t>
      </w:r>
      <w:proofErr w:type="spellStart"/>
      <w:r w:rsidR="00D234C0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Пировский</w:t>
      </w:r>
      <w:proofErr w:type="spellEnd"/>
      <w:r w:rsidR="00D234C0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район. Льгота предоставлена </w:t>
      </w:r>
      <w:r w:rsidR="001517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3</w:t>
      </w:r>
      <w:r w:rsidR="00D234C0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налогоплательщикам.</w:t>
      </w:r>
    </w:p>
    <w:p w:rsidR="00C16B55" w:rsidRDefault="00C16B55" w:rsidP="00D234C0">
      <w:pPr>
        <w:rPr>
          <w:rFonts w:ascii="Times New Roman" w:hAnsi="Times New Roman" w:cs="Times New Roman"/>
          <w:sz w:val="28"/>
          <w:szCs w:val="28"/>
        </w:rPr>
      </w:pPr>
    </w:p>
    <w:p w:rsidR="00D234C0" w:rsidRPr="009A6AC7" w:rsidRDefault="00D234C0" w:rsidP="00D234C0">
      <w:pPr>
        <w:rPr>
          <w:rFonts w:ascii="Times New Roman" w:hAnsi="Times New Roman" w:cs="Times New Roman"/>
          <w:sz w:val="28"/>
          <w:szCs w:val="28"/>
        </w:rPr>
      </w:pPr>
      <w:r w:rsidRPr="009A6AC7">
        <w:rPr>
          <w:rFonts w:ascii="Times New Roman" w:hAnsi="Times New Roman" w:cs="Times New Roman"/>
          <w:sz w:val="28"/>
          <w:szCs w:val="28"/>
        </w:rPr>
        <w:t>Структура налоговых расходов по налогу на имущество физических лиц за период 20</w:t>
      </w:r>
      <w:r w:rsidR="002128B2">
        <w:rPr>
          <w:rFonts w:ascii="Times New Roman" w:hAnsi="Times New Roman" w:cs="Times New Roman"/>
          <w:sz w:val="28"/>
          <w:szCs w:val="28"/>
        </w:rPr>
        <w:t>2</w:t>
      </w:r>
      <w:r w:rsidR="007F5348">
        <w:rPr>
          <w:rFonts w:ascii="Times New Roman" w:hAnsi="Times New Roman" w:cs="Times New Roman"/>
          <w:sz w:val="28"/>
          <w:szCs w:val="28"/>
        </w:rPr>
        <w:t>1</w:t>
      </w:r>
      <w:r w:rsidRPr="009A6AC7">
        <w:rPr>
          <w:rFonts w:ascii="Times New Roman" w:hAnsi="Times New Roman" w:cs="Times New Roman"/>
          <w:sz w:val="28"/>
          <w:szCs w:val="28"/>
        </w:rPr>
        <w:t>-202</w:t>
      </w:r>
      <w:r w:rsidR="007F5348">
        <w:rPr>
          <w:rFonts w:ascii="Times New Roman" w:hAnsi="Times New Roman" w:cs="Times New Roman"/>
          <w:sz w:val="28"/>
          <w:szCs w:val="28"/>
        </w:rPr>
        <w:t>2</w:t>
      </w:r>
      <w:r w:rsidRPr="009A6AC7">
        <w:rPr>
          <w:rFonts w:ascii="Times New Roman" w:hAnsi="Times New Roman" w:cs="Times New Roman"/>
          <w:sz w:val="28"/>
          <w:szCs w:val="28"/>
        </w:rPr>
        <w:t xml:space="preserve"> годов (табл.2)</w:t>
      </w:r>
      <w:r w:rsidR="009A6AC7">
        <w:rPr>
          <w:rFonts w:ascii="Times New Roman" w:hAnsi="Times New Roman" w:cs="Times New Roman"/>
          <w:sz w:val="28"/>
          <w:szCs w:val="28"/>
        </w:rPr>
        <w:t xml:space="preserve">                                                   Таблица 2</w:t>
      </w:r>
    </w:p>
    <w:tbl>
      <w:tblPr>
        <w:tblStyle w:val="a3"/>
        <w:tblW w:w="9357" w:type="dxa"/>
        <w:tblLook w:val="04A0" w:firstRow="1" w:lastRow="0" w:firstColumn="1" w:lastColumn="0" w:noHBand="0" w:noVBand="1"/>
      </w:tblPr>
      <w:tblGrid>
        <w:gridCol w:w="4255"/>
        <w:gridCol w:w="1397"/>
        <w:gridCol w:w="1154"/>
        <w:gridCol w:w="1397"/>
        <w:gridCol w:w="1154"/>
      </w:tblGrid>
      <w:tr w:rsidR="002128B2" w:rsidRPr="009A6AC7" w:rsidTr="002128B2">
        <w:trPr>
          <w:trHeight w:val="313"/>
        </w:trPr>
        <w:tc>
          <w:tcPr>
            <w:tcW w:w="4255" w:type="dxa"/>
            <w:vMerge w:val="restart"/>
          </w:tcPr>
          <w:p w:rsidR="002128B2" w:rsidRPr="009A6AC7" w:rsidRDefault="002128B2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2551" w:type="dxa"/>
            <w:gridSpan w:val="2"/>
          </w:tcPr>
          <w:p w:rsidR="002128B2" w:rsidRPr="009A6AC7" w:rsidRDefault="002128B2" w:rsidP="006A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12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551" w:type="dxa"/>
            <w:gridSpan w:val="2"/>
          </w:tcPr>
          <w:p w:rsidR="002128B2" w:rsidRPr="009A6AC7" w:rsidRDefault="002128B2" w:rsidP="006A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6A12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2128B2" w:rsidRPr="009A6AC7" w:rsidTr="002128B2">
        <w:trPr>
          <w:trHeight w:val="655"/>
        </w:trPr>
        <w:tc>
          <w:tcPr>
            <w:tcW w:w="4255" w:type="dxa"/>
            <w:vMerge/>
          </w:tcPr>
          <w:p w:rsidR="002128B2" w:rsidRPr="009A6AC7" w:rsidRDefault="002128B2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2128B2" w:rsidRPr="009A6AC7" w:rsidRDefault="002128B2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154" w:type="dxa"/>
          </w:tcPr>
          <w:p w:rsidR="002128B2" w:rsidRPr="009A6AC7" w:rsidRDefault="002128B2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397" w:type="dxa"/>
          </w:tcPr>
          <w:p w:rsidR="002128B2" w:rsidRPr="009A6AC7" w:rsidRDefault="002128B2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154" w:type="dxa"/>
          </w:tcPr>
          <w:p w:rsidR="002128B2" w:rsidRPr="009A6AC7" w:rsidRDefault="002128B2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128B2" w:rsidRPr="009A6AC7" w:rsidTr="002128B2">
        <w:trPr>
          <w:trHeight w:val="1908"/>
        </w:trPr>
        <w:tc>
          <w:tcPr>
            <w:tcW w:w="4255" w:type="dxa"/>
          </w:tcPr>
          <w:p w:rsidR="002128B2" w:rsidRPr="009A6AC7" w:rsidRDefault="002128B2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Предоставленные налоговые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льготы всего </w:t>
            </w: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, 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97" w:type="dxa"/>
          </w:tcPr>
          <w:p w:rsidR="002128B2" w:rsidRPr="009A6AC7" w:rsidRDefault="006A12EB" w:rsidP="006A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54" w:type="dxa"/>
          </w:tcPr>
          <w:p w:rsidR="002128B2" w:rsidRPr="009A6AC7" w:rsidRDefault="002128B2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2128B2" w:rsidRPr="009A6AC7" w:rsidRDefault="00CE4971" w:rsidP="00CE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54" w:type="dxa"/>
          </w:tcPr>
          <w:p w:rsidR="002128B2" w:rsidRPr="009A6AC7" w:rsidRDefault="002128B2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28B2" w:rsidRPr="009A6AC7" w:rsidTr="002128B2">
        <w:trPr>
          <w:trHeight w:val="1908"/>
        </w:trPr>
        <w:tc>
          <w:tcPr>
            <w:tcW w:w="4255" w:type="dxa"/>
          </w:tcPr>
          <w:p w:rsidR="002128B2" w:rsidRPr="009A6AC7" w:rsidRDefault="002128B2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AC7">
              <w:rPr>
                <w:rFonts w:ascii="Times New Roman" w:hAnsi="Times New Roman" w:cs="Times New Roman"/>
                <w:sz w:val="28"/>
                <w:szCs w:val="28"/>
              </w:rPr>
              <w:t>Социальные налоговые расходы (имеющие социальную направленность)</w:t>
            </w:r>
          </w:p>
        </w:tc>
        <w:tc>
          <w:tcPr>
            <w:tcW w:w="1397" w:type="dxa"/>
          </w:tcPr>
          <w:p w:rsidR="002128B2" w:rsidRPr="009A6AC7" w:rsidRDefault="006A12EB" w:rsidP="006A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54" w:type="dxa"/>
          </w:tcPr>
          <w:p w:rsidR="002128B2" w:rsidRPr="009A6AC7" w:rsidRDefault="002128B2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</w:tcPr>
          <w:p w:rsidR="002128B2" w:rsidRPr="009A6AC7" w:rsidRDefault="00CE4971" w:rsidP="00CE49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154" w:type="dxa"/>
          </w:tcPr>
          <w:p w:rsidR="002128B2" w:rsidRPr="009A6AC7" w:rsidRDefault="002128B2" w:rsidP="00907D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051B" w:rsidRPr="009A6AC7" w:rsidRDefault="00F6051B" w:rsidP="00F6051B">
      <w:pPr>
        <w:widowControl w:val="0"/>
        <w:spacing w:after="0" w:line="36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По данным МРИ ФНС России № </w:t>
      </w:r>
      <w:r w:rsidR="006A12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17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по Красноярскому краю, сумма </w:t>
      </w:r>
      <w:r w:rsidR="002128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выпадающих доходов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по налогу на имущество физических лиц за 202</w:t>
      </w:r>
      <w:r w:rsidR="006A12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2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год составила </w:t>
      </w:r>
      <w:r w:rsidR="00CE49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0,00</w:t>
      </w:r>
      <w:r w:rsidR="002128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тыс. руб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.</w:t>
      </w:r>
    </w:p>
    <w:p w:rsidR="00F6051B" w:rsidRDefault="00CE4971" w:rsidP="00F6051B">
      <w:pPr>
        <w:widowControl w:val="0"/>
        <w:spacing w:after="0" w:line="36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О</w:t>
      </w:r>
      <w:r w:rsidR="00F6051B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бъем налоговых расходов по налогу на имущество физических лиц в 202</w:t>
      </w:r>
      <w:r w:rsidR="006A12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2</w:t>
      </w:r>
      <w:r w:rsidR="00F6051B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году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в связи с применением специальных налоговых режимов составил в сумме </w:t>
      </w:r>
      <w:r w:rsidR="006A12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53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тыс. руб. </w:t>
      </w:r>
      <w:proofErr w:type="gramStart"/>
      <w:r w:rsidR="00F6051B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-во</w:t>
      </w:r>
      <w:r w:rsidR="00F6051B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налогоплательщиков</w:t>
      </w:r>
      <w:proofErr w:type="gramEnd"/>
      <w:r w:rsidR="00F6051B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, которым предоставлены льготы по налогу на имущество физических лиц, составило </w:t>
      </w:r>
      <w:r w:rsidR="007B03A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1</w:t>
      </w:r>
      <w:r w:rsidR="006A12E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2</w:t>
      </w:r>
      <w:r w:rsidR="002128B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="00F6051B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человек.</w:t>
      </w:r>
    </w:p>
    <w:p w:rsidR="00BC57E9" w:rsidRDefault="00BC57E9" w:rsidP="00F6051B">
      <w:pPr>
        <w:widowControl w:val="0"/>
        <w:spacing w:after="0" w:line="36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p w:rsidR="00BC57E9" w:rsidRDefault="00BC57E9" w:rsidP="00F6051B">
      <w:pPr>
        <w:widowControl w:val="0"/>
        <w:spacing w:after="0" w:line="36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p w:rsidR="000D04D6" w:rsidRPr="00D02F20" w:rsidRDefault="000D04D6" w:rsidP="000D04D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F65747" w:rsidRDefault="00F65747" w:rsidP="00BC57E9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65747" w:rsidRDefault="00F65747" w:rsidP="00BC57E9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65747" w:rsidRDefault="00F65747" w:rsidP="00BC57E9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D04D6" w:rsidRPr="00BC57E9" w:rsidRDefault="000D04D6" w:rsidP="00BC57E9">
      <w:pPr>
        <w:spacing w:after="0" w:line="240" w:lineRule="auto"/>
        <w:ind w:left="568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C57E9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Общая характеристика налоговых расходов в 202</w:t>
      </w:r>
      <w:r w:rsidR="006A12EB"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 w:rsidRPr="00BC57E9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году</w:t>
      </w:r>
    </w:p>
    <w:p w:rsidR="000D04D6" w:rsidRDefault="000D04D6" w:rsidP="000D0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0D04D6" w:rsidRPr="00D02F20" w:rsidRDefault="000D04D6" w:rsidP="000D0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02F20">
        <w:rPr>
          <w:rFonts w:ascii="Times New Roman" w:hAnsi="Times New Roman" w:cs="Times New Roman"/>
          <w:sz w:val="28"/>
        </w:rPr>
        <w:t>Общая сумма</w:t>
      </w:r>
      <w:r>
        <w:rPr>
          <w:rFonts w:ascii="Times New Roman" w:hAnsi="Times New Roman" w:cs="Times New Roman"/>
          <w:sz w:val="28"/>
        </w:rPr>
        <w:t xml:space="preserve"> выпадающих доходов по </w:t>
      </w:r>
      <w:r w:rsidRPr="00D02F20">
        <w:rPr>
          <w:rFonts w:ascii="Times New Roman" w:hAnsi="Times New Roman" w:cs="Times New Roman"/>
          <w:sz w:val="28"/>
        </w:rPr>
        <w:t>налоговым расходам</w:t>
      </w:r>
      <w:r>
        <w:rPr>
          <w:rFonts w:ascii="Times New Roman" w:hAnsi="Times New Roman" w:cs="Times New Roman"/>
          <w:sz w:val="28"/>
        </w:rPr>
        <w:t xml:space="preserve"> в 202</w:t>
      </w:r>
      <w:r w:rsidR="00F65747">
        <w:rPr>
          <w:rFonts w:ascii="Times New Roman" w:hAnsi="Times New Roman" w:cs="Times New Roman"/>
          <w:sz w:val="28"/>
        </w:rPr>
        <w:t>2</w:t>
      </w:r>
      <w:bookmarkStart w:id="1" w:name="_GoBack"/>
      <w:bookmarkEnd w:id="1"/>
      <w:r>
        <w:rPr>
          <w:rFonts w:ascii="Times New Roman" w:hAnsi="Times New Roman" w:cs="Times New Roman"/>
          <w:sz w:val="28"/>
        </w:rPr>
        <w:t xml:space="preserve"> году</w:t>
      </w:r>
      <w:r w:rsidRPr="00D02F20">
        <w:rPr>
          <w:rFonts w:ascii="Times New Roman" w:hAnsi="Times New Roman" w:cs="Times New Roman"/>
          <w:sz w:val="28"/>
        </w:rPr>
        <w:t xml:space="preserve"> составила </w:t>
      </w:r>
      <w:r w:rsidR="006A12EB">
        <w:rPr>
          <w:rFonts w:ascii="Times New Roman" w:hAnsi="Times New Roman" w:cs="Times New Roman"/>
          <w:sz w:val="28"/>
        </w:rPr>
        <w:t>844</w:t>
      </w:r>
      <w:r>
        <w:rPr>
          <w:rFonts w:ascii="Times New Roman" w:hAnsi="Times New Roman" w:cs="Times New Roman"/>
          <w:sz w:val="28"/>
        </w:rPr>
        <w:t>,00</w:t>
      </w:r>
      <w:r w:rsidRPr="00D02F20">
        <w:rPr>
          <w:rFonts w:ascii="Times New Roman" w:hAnsi="Times New Roman" w:cs="Times New Roman"/>
          <w:sz w:val="28"/>
        </w:rPr>
        <w:t xml:space="preserve"> тыс. рублей. </w:t>
      </w:r>
    </w:p>
    <w:p w:rsidR="000D04D6" w:rsidRPr="00D02F20" w:rsidRDefault="000D04D6" w:rsidP="000D04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</w:rPr>
      </w:pPr>
    </w:p>
    <w:p w:rsidR="000D04D6" w:rsidRPr="00D02F20" w:rsidRDefault="000D04D6" w:rsidP="000D04D6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</w:rPr>
      </w:pPr>
      <w:r w:rsidRPr="00D02F20">
        <w:rPr>
          <w:rFonts w:ascii="Times New Roman" w:hAnsi="Times New Roman" w:cs="Times New Roman"/>
          <w:i/>
          <w:sz w:val="28"/>
        </w:rPr>
        <w:t>Таблица 1</w:t>
      </w:r>
    </w:p>
    <w:p w:rsidR="000D04D6" w:rsidRPr="00D02F20" w:rsidRDefault="000D04D6" w:rsidP="000D04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02F20">
        <w:rPr>
          <w:rFonts w:ascii="Times New Roman" w:hAnsi="Times New Roman" w:cs="Times New Roman"/>
          <w:b/>
          <w:sz w:val="28"/>
        </w:rPr>
        <w:t>Структура и динамика налоговых расходов</w:t>
      </w:r>
    </w:p>
    <w:p w:rsidR="000D04D6" w:rsidRDefault="000D04D6" w:rsidP="000D04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D02F20">
        <w:rPr>
          <w:rFonts w:ascii="Times New Roman" w:hAnsi="Times New Roman" w:cs="Times New Roman"/>
          <w:b/>
          <w:sz w:val="28"/>
        </w:rPr>
        <w:t>за 20</w:t>
      </w:r>
      <w:r>
        <w:rPr>
          <w:rFonts w:ascii="Times New Roman" w:hAnsi="Times New Roman" w:cs="Times New Roman"/>
          <w:b/>
          <w:sz w:val="28"/>
        </w:rPr>
        <w:t>2</w:t>
      </w:r>
      <w:r w:rsidR="006A12EB">
        <w:rPr>
          <w:rFonts w:ascii="Times New Roman" w:hAnsi="Times New Roman" w:cs="Times New Roman"/>
          <w:b/>
          <w:sz w:val="28"/>
        </w:rPr>
        <w:t>1</w:t>
      </w:r>
      <w:r w:rsidRPr="00D02F20">
        <w:rPr>
          <w:rFonts w:ascii="Times New Roman" w:hAnsi="Times New Roman" w:cs="Times New Roman"/>
          <w:b/>
          <w:sz w:val="28"/>
        </w:rPr>
        <w:t>-202</w:t>
      </w:r>
      <w:r w:rsidR="006A12EB">
        <w:rPr>
          <w:rFonts w:ascii="Times New Roman" w:hAnsi="Times New Roman" w:cs="Times New Roman"/>
          <w:b/>
          <w:sz w:val="28"/>
        </w:rPr>
        <w:t>2</w:t>
      </w:r>
      <w:r w:rsidRPr="00D02F20">
        <w:rPr>
          <w:rFonts w:ascii="Times New Roman" w:hAnsi="Times New Roman" w:cs="Times New Roman"/>
          <w:b/>
          <w:sz w:val="28"/>
        </w:rPr>
        <w:t xml:space="preserve"> годы</w:t>
      </w:r>
    </w:p>
    <w:p w:rsidR="000D04D6" w:rsidRPr="00D02F20" w:rsidRDefault="000D04D6" w:rsidP="000D04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853" w:type="dxa"/>
        <w:tblLayout w:type="fixed"/>
        <w:tblLook w:val="04A0" w:firstRow="1" w:lastRow="0" w:firstColumn="1" w:lastColumn="0" w:noHBand="0" w:noVBand="1"/>
      </w:tblPr>
      <w:tblGrid>
        <w:gridCol w:w="749"/>
        <w:gridCol w:w="6267"/>
        <w:gridCol w:w="1411"/>
        <w:gridCol w:w="1426"/>
      </w:tblGrid>
      <w:tr w:rsidR="000D04D6" w:rsidRPr="00ED37D6" w:rsidTr="000D04D6">
        <w:trPr>
          <w:trHeight w:val="560"/>
        </w:trPr>
        <w:tc>
          <w:tcPr>
            <w:tcW w:w="749" w:type="dxa"/>
          </w:tcPr>
          <w:p w:rsidR="000D04D6" w:rsidRPr="00ED37D6" w:rsidRDefault="000D04D6" w:rsidP="007C4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67" w:type="dxa"/>
          </w:tcPr>
          <w:p w:rsidR="000D04D6" w:rsidRPr="00ED37D6" w:rsidRDefault="000D04D6" w:rsidP="007C4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1" w:type="dxa"/>
          </w:tcPr>
          <w:p w:rsidR="000D04D6" w:rsidRPr="00ED37D6" w:rsidRDefault="000D04D6" w:rsidP="006A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12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D37D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26" w:type="dxa"/>
          </w:tcPr>
          <w:p w:rsidR="000D04D6" w:rsidRPr="00ED37D6" w:rsidRDefault="000D04D6" w:rsidP="006A12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7D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A12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37D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6A12EB" w:rsidRPr="00391370" w:rsidTr="000D04D6">
        <w:trPr>
          <w:trHeight w:val="670"/>
        </w:trPr>
        <w:tc>
          <w:tcPr>
            <w:tcW w:w="749" w:type="dxa"/>
          </w:tcPr>
          <w:p w:rsidR="006A12EB" w:rsidRPr="00391370" w:rsidRDefault="006A12EB" w:rsidP="006A12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13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6267" w:type="dxa"/>
          </w:tcPr>
          <w:p w:rsidR="006A12EB" w:rsidRPr="00391370" w:rsidRDefault="006A12EB" w:rsidP="006A1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13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Объем налоговых и неналоговых доходов бюджета округа, тыс. руб.</w:t>
            </w:r>
          </w:p>
        </w:tc>
        <w:tc>
          <w:tcPr>
            <w:tcW w:w="1411" w:type="dxa"/>
          </w:tcPr>
          <w:p w:rsidR="006A12EB" w:rsidRPr="00391370" w:rsidRDefault="006A12EB" w:rsidP="006A12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13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63625,0</w:t>
            </w:r>
          </w:p>
        </w:tc>
        <w:tc>
          <w:tcPr>
            <w:tcW w:w="1426" w:type="dxa"/>
          </w:tcPr>
          <w:p w:rsidR="006A12EB" w:rsidRPr="00391370" w:rsidRDefault="006A12EB" w:rsidP="00A118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13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69</w:t>
            </w:r>
            <w:r w:rsidR="00A11818" w:rsidRPr="003913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040,15</w:t>
            </w:r>
          </w:p>
        </w:tc>
      </w:tr>
      <w:tr w:rsidR="006A12EB" w:rsidRPr="00391370" w:rsidTr="000D04D6">
        <w:trPr>
          <w:trHeight w:val="587"/>
        </w:trPr>
        <w:tc>
          <w:tcPr>
            <w:tcW w:w="749" w:type="dxa"/>
          </w:tcPr>
          <w:p w:rsidR="006A12EB" w:rsidRPr="00391370" w:rsidRDefault="006A12EB" w:rsidP="006A1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37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267" w:type="dxa"/>
          </w:tcPr>
          <w:p w:rsidR="006A12EB" w:rsidRPr="00391370" w:rsidRDefault="006A12EB" w:rsidP="006A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370">
              <w:rPr>
                <w:rFonts w:ascii="Times New Roman" w:hAnsi="Times New Roman" w:cs="Times New Roman"/>
                <w:sz w:val="28"/>
                <w:szCs w:val="28"/>
              </w:rPr>
              <w:t>Сумма выпадающих доходов от применения налоговых льгот, тыс. руб.</w:t>
            </w:r>
          </w:p>
        </w:tc>
        <w:tc>
          <w:tcPr>
            <w:tcW w:w="1411" w:type="dxa"/>
          </w:tcPr>
          <w:p w:rsidR="006A12EB" w:rsidRPr="00391370" w:rsidRDefault="006A12EB" w:rsidP="006A1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370">
              <w:rPr>
                <w:rFonts w:ascii="Times New Roman" w:hAnsi="Times New Roman" w:cs="Times New Roman"/>
                <w:sz w:val="28"/>
                <w:szCs w:val="28"/>
              </w:rPr>
              <w:t>676,00</w:t>
            </w:r>
          </w:p>
        </w:tc>
        <w:tc>
          <w:tcPr>
            <w:tcW w:w="1426" w:type="dxa"/>
          </w:tcPr>
          <w:p w:rsidR="006A12EB" w:rsidRPr="00391370" w:rsidRDefault="00A11818" w:rsidP="00A11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370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  <w:r w:rsidR="006A12EB" w:rsidRPr="00391370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6A12EB" w:rsidRPr="00391370" w:rsidTr="000D04D6">
        <w:trPr>
          <w:trHeight w:val="402"/>
        </w:trPr>
        <w:tc>
          <w:tcPr>
            <w:tcW w:w="749" w:type="dxa"/>
          </w:tcPr>
          <w:p w:rsidR="006A12EB" w:rsidRPr="00391370" w:rsidRDefault="006A12EB" w:rsidP="006A1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37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267" w:type="dxa"/>
          </w:tcPr>
          <w:p w:rsidR="006A12EB" w:rsidRPr="00391370" w:rsidRDefault="006A12EB" w:rsidP="006A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370">
              <w:rPr>
                <w:rFonts w:ascii="Times New Roman" w:hAnsi="Times New Roman" w:cs="Times New Roman"/>
                <w:sz w:val="28"/>
                <w:szCs w:val="28"/>
              </w:rPr>
              <w:t>Темп роста налоговых расходов к предыдущему году, %</w:t>
            </w:r>
          </w:p>
        </w:tc>
        <w:tc>
          <w:tcPr>
            <w:tcW w:w="1411" w:type="dxa"/>
          </w:tcPr>
          <w:p w:rsidR="006A12EB" w:rsidRPr="00391370" w:rsidRDefault="006A12EB" w:rsidP="006A1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2EB" w:rsidRPr="00391370" w:rsidRDefault="00A11818" w:rsidP="00A11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37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26" w:type="dxa"/>
          </w:tcPr>
          <w:p w:rsidR="006A12EB" w:rsidRPr="00391370" w:rsidRDefault="006A12EB" w:rsidP="006A1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2EB" w:rsidRPr="00391370" w:rsidRDefault="00A11818" w:rsidP="00A11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370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</w:tr>
      <w:tr w:rsidR="006A12EB" w:rsidRPr="00391370" w:rsidTr="000D04D6">
        <w:trPr>
          <w:trHeight w:val="575"/>
        </w:trPr>
        <w:tc>
          <w:tcPr>
            <w:tcW w:w="749" w:type="dxa"/>
          </w:tcPr>
          <w:p w:rsidR="006A12EB" w:rsidRPr="00391370" w:rsidRDefault="006A12EB" w:rsidP="006A1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370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267" w:type="dxa"/>
          </w:tcPr>
          <w:p w:rsidR="006A12EB" w:rsidRPr="00391370" w:rsidRDefault="006A12EB" w:rsidP="006A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370">
              <w:rPr>
                <w:rFonts w:ascii="Times New Roman" w:hAnsi="Times New Roman" w:cs="Times New Roman"/>
                <w:sz w:val="28"/>
                <w:szCs w:val="28"/>
              </w:rPr>
              <w:t>Доля налоговых расходов от объема налоговых и неналоговых доходов бюджета округа, %</w:t>
            </w:r>
          </w:p>
        </w:tc>
        <w:tc>
          <w:tcPr>
            <w:tcW w:w="1411" w:type="dxa"/>
          </w:tcPr>
          <w:p w:rsidR="006A12EB" w:rsidRPr="00391370" w:rsidRDefault="006A12EB" w:rsidP="006A1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2EB" w:rsidRPr="00391370" w:rsidRDefault="006A12EB" w:rsidP="006A1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370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  <w:tc>
          <w:tcPr>
            <w:tcW w:w="1426" w:type="dxa"/>
          </w:tcPr>
          <w:p w:rsidR="006A12EB" w:rsidRPr="00391370" w:rsidRDefault="006A12EB" w:rsidP="006A1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2EB" w:rsidRPr="00391370" w:rsidRDefault="006A12EB" w:rsidP="006A1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370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6A12EB" w:rsidRPr="00391370" w:rsidTr="000D04D6">
        <w:trPr>
          <w:trHeight w:val="554"/>
        </w:trPr>
        <w:tc>
          <w:tcPr>
            <w:tcW w:w="749" w:type="dxa"/>
          </w:tcPr>
          <w:p w:rsidR="006A12EB" w:rsidRPr="00391370" w:rsidRDefault="006A12EB" w:rsidP="006A12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13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6267" w:type="dxa"/>
          </w:tcPr>
          <w:p w:rsidR="006A12EB" w:rsidRPr="00391370" w:rsidRDefault="006A12EB" w:rsidP="006A1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13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Сумма поступлений земельного налога в бюджет округа, тыс. руб.</w:t>
            </w:r>
          </w:p>
        </w:tc>
        <w:tc>
          <w:tcPr>
            <w:tcW w:w="1411" w:type="dxa"/>
          </w:tcPr>
          <w:p w:rsidR="006A12EB" w:rsidRPr="00391370" w:rsidRDefault="006A12EB" w:rsidP="006A12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13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2083,94</w:t>
            </w:r>
          </w:p>
        </w:tc>
        <w:tc>
          <w:tcPr>
            <w:tcW w:w="1426" w:type="dxa"/>
          </w:tcPr>
          <w:p w:rsidR="006A12EB" w:rsidRPr="00391370" w:rsidRDefault="00A11818" w:rsidP="00A1181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13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2215,1</w:t>
            </w:r>
          </w:p>
        </w:tc>
      </w:tr>
      <w:tr w:rsidR="006A12EB" w:rsidRPr="00391370" w:rsidTr="000D04D6">
        <w:trPr>
          <w:trHeight w:val="402"/>
        </w:trPr>
        <w:tc>
          <w:tcPr>
            <w:tcW w:w="749" w:type="dxa"/>
          </w:tcPr>
          <w:p w:rsidR="006A12EB" w:rsidRPr="00391370" w:rsidRDefault="006A12EB" w:rsidP="006A1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37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267" w:type="dxa"/>
          </w:tcPr>
          <w:p w:rsidR="006A12EB" w:rsidRPr="00391370" w:rsidRDefault="006A12EB" w:rsidP="006A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370">
              <w:rPr>
                <w:rFonts w:ascii="Times New Roman" w:hAnsi="Times New Roman" w:cs="Times New Roman"/>
                <w:sz w:val="28"/>
                <w:szCs w:val="28"/>
              </w:rPr>
              <w:t>Сумма выпадающих доходов от применения льгот по земельному налогу, тыс. руб.</w:t>
            </w:r>
          </w:p>
        </w:tc>
        <w:tc>
          <w:tcPr>
            <w:tcW w:w="1411" w:type="dxa"/>
          </w:tcPr>
          <w:p w:rsidR="006A12EB" w:rsidRPr="00391370" w:rsidRDefault="006A12EB" w:rsidP="006A1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2EB" w:rsidRPr="00391370" w:rsidRDefault="006A12EB" w:rsidP="006A1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370">
              <w:rPr>
                <w:rFonts w:ascii="Times New Roman" w:hAnsi="Times New Roman" w:cs="Times New Roman"/>
                <w:sz w:val="28"/>
                <w:szCs w:val="28"/>
              </w:rPr>
              <w:t>676</w:t>
            </w:r>
          </w:p>
        </w:tc>
        <w:tc>
          <w:tcPr>
            <w:tcW w:w="1426" w:type="dxa"/>
          </w:tcPr>
          <w:p w:rsidR="006A12EB" w:rsidRPr="00391370" w:rsidRDefault="006A12EB" w:rsidP="006A1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2EB" w:rsidRPr="00391370" w:rsidRDefault="00A11818" w:rsidP="00A11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370">
              <w:rPr>
                <w:rFonts w:ascii="Times New Roman" w:hAnsi="Times New Roman" w:cs="Times New Roman"/>
                <w:sz w:val="28"/>
                <w:szCs w:val="28"/>
              </w:rPr>
              <w:t>791</w:t>
            </w:r>
          </w:p>
        </w:tc>
      </w:tr>
      <w:tr w:rsidR="006A12EB" w:rsidRPr="00391370" w:rsidTr="000D04D6">
        <w:trPr>
          <w:trHeight w:val="402"/>
        </w:trPr>
        <w:tc>
          <w:tcPr>
            <w:tcW w:w="749" w:type="dxa"/>
          </w:tcPr>
          <w:p w:rsidR="006A12EB" w:rsidRPr="00391370" w:rsidRDefault="006A12EB" w:rsidP="006A1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370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267" w:type="dxa"/>
          </w:tcPr>
          <w:p w:rsidR="006A12EB" w:rsidRPr="00391370" w:rsidRDefault="006A12EB" w:rsidP="006A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370">
              <w:rPr>
                <w:rFonts w:ascii="Times New Roman" w:hAnsi="Times New Roman" w:cs="Times New Roman"/>
                <w:sz w:val="28"/>
                <w:szCs w:val="28"/>
              </w:rPr>
              <w:t>Доля налоговых расходов от объема поступлений земельного налога в бюджет округа, %</w:t>
            </w:r>
          </w:p>
        </w:tc>
        <w:tc>
          <w:tcPr>
            <w:tcW w:w="1411" w:type="dxa"/>
          </w:tcPr>
          <w:p w:rsidR="006A12EB" w:rsidRPr="00391370" w:rsidRDefault="006A12EB" w:rsidP="006A1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370">
              <w:rPr>
                <w:rFonts w:ascii="Times New Roman" w:hAnsi="Times New Roman" w:cs="Times New Roman"/>
                <w:sz w:val="28"/>
                <w:szCs w:val="28"/>
              </w:rPr>
              <w:t>33,15</w:t>
            </w:r>
          </w:p>
        </w:tc>
        <w:tc>
          <w:tcPr>
            <w:tcW w:w="1426" w:type="dxa"/>
          </w:tcPr>
          <w:p w:rsidR="006A12EB" w:rsidRPr="00391370" w:rsidRDefault="00A11818" w:rsidP="00A11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370">
              <w:rPr>
                <w:rFonts w:ascii="Times New Roman" w:hAnsi="Times New Roman" w:cs="Times New Roman"/>
                <w:sz w:val="28"/>
                <w:szCs w:val="28"/>
              </w:rPr>
              <w:t>35,7</w:t>
            </w:r>
          </w:p>
        </w:tc>
      </w:tr>
      <w:tr w:rsidR="006A12EB" w:rsidRPr="00391370" w:rsidTr="000D04D6">
        <w:trPr>
          <w:trHeight w:val="402"/>
        </w:trPr>
        <w:tc>
          <w:tcPr>
            <w:tcW w:w="749" w:type="dxa"/>
          </w:tcPr>
          <w:p w:rsidR="006A12EB" w:rsidRPr="00391370" w:rsidRDefault="006A12EB" w:rsidP="006A12E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13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6267" w:type="dxa"/>
          </w:tcPr>
          <w:p w:rsidR="006A12EB" w:rsidRPr="00391370" w:rsidRDefault="006A12EB" w:rsidP="006A12E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9137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Сумма поступлений налога на имущество физических лиц в бюджет округа, тыс. руб.</w:t>
            </w:r>
          </w:p>
        </w:tc>
        <w:tc>
          <w:tcPr>
            <w:tcW w:w="1411" w:type="dxa"/>
          </w:tcPr>
          <w:p w:rsidR="006A12EB" w:rsidRPr="00391370" w:rsidRDefault="006A12EB" w:rsidP="006A1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370">
              <w:rPr>
                <w:rFonts w:ascii="Times New Roman" w:hAnsi="Times New Roman" w:cs="Times New Roman"/>
                <w:sz w:val="28"/>
                <w:szCs w:val="28"/>
              </w:rPr>
              <w:t>414,76</w:t>
            </w:r>
          </w:p>
        </w:tc>
        <w:tc>
          <w:tcPr>
            <w:tcW w:w="1426" w:type="dxa"/>
          </w:tcPr>
          <w:p w:rsidR="006A12EB" w:rsidRPr="00391370" w:rsidRDefault="00A11818" w:rsidP="00A118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370">
              <w:rPr>
                <w:rFonts w:ascii="Times New Roman" w:hAnsi="Times New Roman" w:cs="Times New Roman"/>
                <w:sz w:val="28"/>
                <w:szCs w:val="28"/>
              </w:rPr>
              <w:t>517,43</w:t>
            </w:r>
          </w:p>
        </w:tc>
      </w:tr>
      <w:tr w:rsidR="006A12EB" w:rsidRPr="00391370" w:rsidTr="000D04D6">
        <w:trPr>
          <w:trHeight w:val="402"/>
        </w:trPr>
        <w:tc>
          <w:tcPr>
            <w:tcW w:w="749" w:type="dxa"/>
          </w:tcPr>
          <w:p w:rsidR="006A12EB" w:rsidRPr="00391370" w:rsidRDefault="006A12EB" w:rsidP="006A1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370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267" w:type="dxa"/>
          </w:tcPr>
          <w:p w:rsidR="006A12EB" w:rsidRPr="00391370" w:rsidRDefault="006A12EB" w:rsidP="006A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370">
              <w:rPr>
                <w:rFonts w:ascii="Times New Roman" w:hAnsi="Times New Roman" w:cs="Times New Roman"/>
                <w:sz w:val="28"/>
                <w:szCs w:val="28"/>
              </w:rPr>
              <w:t>Сумма выпадающих доходов от применения льгот по налогу на имущество физических лиц, тыс. руб.</w:t>
            </w:r>
          </w:p>
        </w:tc>
        <w:tc>
          <w:tcPr>
            <w:tcW w:w="1411" w:type="dxa"/>
          </w:tcPr>
          <w:p w:rsidR="006A12EB" w:rsidRPr="00391370" w:rsidRDefault="006A12EB" w:rsidP="006A1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37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:rsidR="006A12EB" w:rsidRPr="00391370" w:rsidRDefault="006A12EB" w:rsidP="006A1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</w:tcPr>
          <w:p w:rsidR="006A12EB" w:rsidRPr="00391370" w:rsidRDefault="006A12EB" w:rsidP="006A1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370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  <w:p w:rsidR="006A12EB" w:rsidRPr="00391370" w:rsidRDefault="006A12EB" w:rsidP="006A1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12EB" w:rsidRPr="00391370" w:rsidTr="000D04D6">
        <w:trPr>
          <w:trHeight w:val="402"/>
        </w:trPr>
        <w:tc>
          <w:tcPr>
            <w:tcW w:w="749" w:type="dxa"/>
          </w:tcPr>
          <w:p w:rsidR="006A12EB" w:rsidRPr="00391370" w:rsidRDefault="006A12EB" w:rsidP="006A1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370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267" w:type="dxa"/>
          </w:tcPr>
          <w:p w:rsidR="006A12EB" w:rsidRPr="00391370" w:rsidRDefault="006A12EB" w:rsidP="006A1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1370">
              <w:rPr>
                <w:rFonts w:ascii="Times New Roman" w:hAnsi="Times New Roman" w:cs="Times New Roman"/>
                <w:sz w:val="28"/>
                <w:szCs w:val="28"/>
              </w:rPr>
              <w:t>Доля налоговых расходов от объема поступлений по налогу на имущество физических лиц в бюджет округа, %</w:t>
            </w:r>
          </w:p>
        </w:tc>
        <w:tc>
          <w:tcPr>
            <w:tcW w:w="1411" w:type="dxa"/>
          </w:tcPr>
          <w:p w:rsidR="006A12EB" w:rsidRPr="00391370" w:rsidRDefault="006A12EB" w:rsidP="006A1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2EB" w:rsidRPr="00391370" w:rsidRDefault="006A12EB" w:rsidP="006A1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37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26" w:type="dxa"/>
          </w:tcPr>
          <w:p w:rsidR="006A12EB" w:rsidRPr="00391370" w:rsidRDefault="006A12EB" w:rsidP="006A1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12EB" w:rsidRPr="00391370" w:rsidRDefault="006A12EB" w:rsidP="006A12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1370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0D04D6" w:rsidRPr="00391370" w:rsidRDefault="000D04D6" w:rsidP="000D04D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D04D6" w:rsidRPr="00391370" w:rsidRDefault="000D04D6" w:rsidP="000D0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0D04D6" w:rsidRPr="00D02F20" w:rsidRDefault="000D04D6" w:rsidP="000D0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 w:rsidRPr="00D02F20">
        <w:rPr>
          <w:rFonts w:ascii="Times New Roman" w:hAnsi="Times New Roman" w:cs="Times New Roman"/>
          <w:sz w:val="28"/>
          <w:lang w:bidi="ru-RU"/>
        </w:rPr>
        <w:t>Общий объем налоговых расходов в 202</w:t>
      </w:r>
      <w:r w:rsidR="00A11818">
        <w:rPr>
          <w:rFonts w:ascii="Times New Roman" w:hAnsi="Times New Roman" w:cs="Times New Roman"/>
          <w:sz w:val="28"/>
          <w:lang w:bidi="ru-RU"/>
        </w:rPr>
        <w:t>2</w:t>
      </w:r>
      <w:r w:rsidRPr="00D02F20">
        <w:rPr>
          <w:rFonts w:ascii="Times New Roman" w:hAnsi="Times New Roman" w:cs="Times New Roman"/>
          <w:sz w:val="28"/>
          <w:lang w:bidi="ru-RU"/>
        </w:rPr>
        <w:t xml:space="preserve"> году </w:t>
      </w:r>
      <w:r w:rsidR="00B33287">
        <w:rPr>
          <w:rFonts w:ascii="Times New Roman" w:hAnsi="Times New Roman" w:cs="Times New Roman"/>
          <w:sz w:val="28"/>
          <w:lang w:bidi="ru-RU"/>
        </w:rPr>
        <w:t>у</w:t>
      </w:r>
      <w:r w:rsidR="00A11818">
        <w:rPr>
          <w:rFonts w:ascii="Times New Roman" w:hAnsi="Times New Roman" w:cs="Times New Roman"/>
          <w:sz w:val="28"/>
          <w:lang w:bidi="ru-RU"/>
        </w:rPr>
        <w:t>величился</w:t>
      </w:r>
      <w:r w:rsidRPr="00D02F20">
        <w:rPr>
          <w:rFonts w:ascii="Times New Roman" w:hAnsi="Times New Roman" w:cs="Times New Roman"/>
          <w:sz w:val="28"/>
          <w:lang w:bidi="ru-RU"/>
        </w:rPr>
        <w:t xml:space="preserve"> на </w:t>
      </w:r>
      <w:r w:rsidR="00A11818">
        <w:rPr>
          <w:rFonts w:ascii="Times New Roman" w:hAnsi="Times New Roman" w:cs="Times New Roman"/>
          <w:sz w:val="28"/>
          <w:lang w:bidi="ru-RU"/>
        </w:rPr>
        <w:t>17</w:t>
      </w:r>
      <w:r w:rsidRPr="00D02F20">
        <w:rPr>
          <w:rFonts w:ascii="Times New Roman" w:hAnsi="Times New Roman" w:cs="Times New Roman"/>
          <w:sz w:val="28"/>
          <w:lang w:bidi="ru-RU"/>
        </w:rPr>
        <w:t xml:space="preserve">% или на </w:t>
      </w:r>
      <w:r w:rsidR="00A11818">
        <w:rPr>
          <w:rFonts w:ascii="Times New Roman" w:hAnsi="Times New Roman" w:cs="Times New Roman"/>
          <w:sz w:val="28"/>
          <w:lang w:bidi="ru-RU"/>
        </w:rPr>
        <w:t>115</w:t>
      </w:r>
      <w:r w:rsidR="00B33287">
        <w:rPr>
          <w:rFonts w:ascii="Times New Roman" w:hAnsi="Times New Roman" w:cs="Times New Roman"/>
          <w:sz w:val="28"/>
          <w:lang w:bidi="ru-RU"/>
        </w:rPr>
        <w:t>,0</w:t>
      </w:r>
      <w:r w:rsidRPr="00D02F20">
        <w:rPr>
          <w:rFonts w:ascii="Times New Roman" w:hAnsi="Times New Roman" w:cs="Times New Roman"/>
          <w:sz w:val="28"/>
          <w:lang w:bidi="ru-RU"/>
        </w:rPr>
        <w:t xml:space="preserve"> тыс. рублей к уровню 202</w:t>
      </w:r>
      <w:r w:rsidR="00A11818">
        <w:rPr>
          <w:rFonts w:ascii="Times New Roman" w:hAnsi="Times New Roman" w:cs="Times New Roman"/>
          <w:sz w:val="28"/>
          <w:lang w:bidi="ru-RU"/>
        </w:rPr>
        <w:t>1</w:t>
      </w:r>
      <w:r w:rsidRPr="00D02F20">
        <w:rPr>
          <w:rFonts w:ascii="Times New Roman" w:hAnsi="Times New Roman" w:cs="Times New Roman"/>
          <w:sz w:val="28"/>
          <w:lang w:bidi="ru-RU"/>
        </w:rPr>
        <w:t xml:space="preserve"> года.</w:t>
      </w:r>
    </w:p>
    <w:p w:rsidR="00B33287" w:rsidRDefault="000D04D6" w:rsidP="000D04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lang w:bidi="ru-RU"/>
        </w:rPr>
      </w:pPr>
      <w:r w:rsidRPr="00D02F20">
        <w:rPr>
          <w:rFonts w:ascii="Times New Roman" w:hAnsi="Times New Roman" w:cs="Times New Roman"/>
          <w:sz w:val="28"/>
          <w:lang w:bidi="ru-RU"/>
        </w:rPr>
        <w:t xml:space="preserve">Основной причиной </w:t>
      </w:r>
      <w:r w:rsidR="00A11818">
        <w:rPr>
          <w:rFonts w:ascii="Times New Roman" w:hAnsi="Times New Roman" w:cs="Times New Roman"/>
          <w:sz w:val="28"/>
          <w:lang w:bidi="ru-RU"/>
        </w:rPr>
        <w:t>увеличения</w:t>
      </w:r>
      <w:r w:rsidRPr="00D02F20">
        <w:rPr>
          <w:rFonts w:ascii="Times New Roman" w:hAnsi="Times New Roman" w:cs="Times New Roman"/>
          <w:sz w:val="28"/>
          <w:lang w:bidi="ru-RU"/>
        </w:rPr>
        <w:t xml:space="preserve"> налоговых расходов в 202</w:t>
      </w:r>
      <w:r w:rsidR="00A11818">
        <w:rPr>
          <w:rFonts w:ascii="Times New Roman" w:hAnsi="Times New Roman" w:cs="Times New Roman"/>
          <w:sz w:val="28"/>
          <w:lang w:bidi="ru-RU"/>
        </w:rPr>
        <w:t>2</w:t>
      </w:r>
      <w:r w:rsidRPr="00D02F20">
        <w:rPr>
          <w:rFonts w:ascii="Times New Roman" w:hAnsi="Times New Roman" w:cs="Times New Roman"/>
          <w:sz w:val="28"/>
          <w:lang w:bidi="ru-RU"/>
        </w:rPr>
        <w:t xml:space="preserve"> году связано с </w:t>
      </w:r>
      <w:r w:rsidR="00A11818">
        <w:rPr>
          <w:rFonts w:ascii="Times New Roman" w:hAnsi="Times New Roman" w:cs="Times New Roman"/>
          <w:sz w:val="28"/>
          <w:lang w:bidi="ru-RU"/>
        </w:rPr>
        <w:t>увеличением налоговой базы (кадастровой стоимости земельных участков)</w:t>
      </w:r>
      <w:r w:rsidR="00B33287">
        <w:rPr>
          <w:rFonts w:ascii="Times New Roman" w:hAnsi="Times New Roman" w:cs="Times New Roman"/>
          <w:sz w:val="28"/>
          <w:lang w:bidi="ru-RU"/>
        </w:rPr>
        <w:t>.</w:t>
      </w:r>
    </w:p>
    <w:p w:rsidR="00BC57E9" w:rsidRDefault="00BC57E9" w:rsidP="00BF0A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lang w:bidi="ru-RU"/>
        </w:rPr>
      </w:pPr>
    </w:p>
    <w:p w:rsidR="00BF0A5D" w:rsidRDefault="00BF0A5D" w:rsidP="00BF0A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</w:rPr>
      </w:pPr>
    </w:p>
    <w:p w:rsidR="00BC57E9" w:rsidRDefault="00BC57E9" w:rsidP="00BF0A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</w:rPr>
      </w:pPr>
    </w:p>
    <w:p w:rsidR="00BC57E9" w:rsidRDefault="00BC57E9" w:rsidP="00BF0A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</w:rPr>
      </w:pPr>
    </w:p>
    <w:p w:rsidR="00BC57E9" w:rsidRDefault="00BC57E9" w:rsidP="00BF0A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</w:rPr>
      </w:pPr>
    </w:p>
    <w:p w:rsidR="00BC57E9" w:rsidRDefault="00BC57E9" w:rsidP="00BF0A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</w:rPr>
      </w:pPr>
    </w:p>
    <w:p w:rsidR="00BC57E9" w:rsidRDefault="00BC57E9" w:rsidP="00BF0A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</w:rPr>
      </w:pPr>
    </w:p>
    <w:p w:rsidR="00BC57E9" w:rsidRPr="00D02F20" w:rsidRDefault="00BC57E9" w:rsidP="00BC57E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D02F20">
        <w:rPr>
          <w:rFonts w:ascii="Times New Roman" w:hAnsi="Times New Roman" w:cs="Times New Roman"/>
          <w:b/>
          <w:sz w:val="28"/>
        </w:rPr>
        <w:t>Объем налоговых расходов по целевым категориям</w:t>
      </w:r>
    </w:p>
    <w:p w:rsidR="00BC57E9" w:rsidRPr="00D02F20" w:rsidRDefault="00BC57E9" w:rsidP="00BC57E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02F20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Style w:val="a3"/>
        <w:tblW w:w="10279" w:type="dxa"/>
        <w:tblInd w:w="-823" w:type="dxa"/>
        <w:tblLook w:val="04A0" w:firstRow="1" w:lastRow="0" w:firstColumn="1" w:lastColumn="0" w:noHBand="0" w:noVBand="1"/>
      </w:tblPr>
      <w:tblGrid>
        <w:gridCol w:w="706"/>
        <w:gridCol w:w="2188"/>
        <w:gridCol w:w="3283"/>
        <w:gridCol w:w="2244"/>
        <w:gridCol w:w="1858"/>
      </w:tblGrid>
      <w:tr w:rsidR="00BC57E9" w:rsidRPr="001F48C4" w:rsidTr="00BC57E9">
        <w:trPr>
          <w:trHeight w:val="514"/>
        </w:trPr>
        <w:tc>
          <w:tcPr>
            <w:tcW w:w="706" w:type="dxa"/>
          </w:tcPr>
          <w:p w:rsidR="00BC57E9" w:rsidRPr="001F48C4" w:rsidRDefault="00BC57E9" w:rsidP="007C4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C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88" w:type="dxa"/>
          </w:tcPr>
          <w:p w:rsidR="00BC57E9" w:rsidRPr="001F48C4" w:rsidRDefault="00BC57E9" w:rsidP="007C4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C4">
              <w:rPr>
                <w:rFonts w:ascii="Times New Roman" w:hAnsi="Times New Roman" w:cs="Times New Roman"/>
                <w:sz w:val="24"/>
                <w:szCs w:val="24"/>
              </w:rPr>
              <w:t>Вид налога</w:t>
            </w:r>
          </w:p>
        </w:tc>
        <w:tc>
          <w:tcPr>
            <w:tcW w:w="3283" w:type="dxa"/>
          </w:tcPr>
          <w:p w:rsidR="00BC57E9" w:rsidRPr="001F48C4" w:rsidRDefault="00BC57E9" w:rsidP="007C4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C4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налоговых расходов</w:t>
            </w:r>
          </w:p>
        </w:tc>
        <w:tc>
          <w:tcPr>
            <w:tcW w:w="2244" w:type="dxa"/>
          </w:tcPr>
          <w:p w:rsidR="00BC57E9" w:rsidRPr="001F48C4" w:rsidRDefault="00BC57E9" w:rsidP="00A1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C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118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F48C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58" w:type="dxa"/>
          </w:tcPr>
          <w:p w:rsidR="00BC57E9" w:rsidRPr="001F48C4" w:rsidRDefault="00BC57E9" w:rsidP="00A1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C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118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F48C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BC57E9" w:rsidRPr="001F48C4" w:rsidTr="00BC57E9">
        <w:trPr>
          <w:trHeight w:val="291"/>
        </w:trPr>
        <w:tc>
          <w:tcPr>
            <w:tcW w:w="706" w:type="dxa"/>
          </w:tcPr>
          <w:p w:rsidR="00BC57E9" w:rsidRPr="001F48C4" w:rsidRDefault="00BC57E9" w:rsidP="007C4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8" w:type="dxa"/>
          </w:tcPr>
          <w:p w:rsidR="00BC57E9" w:rsidRPr="001F48C4" w:rsidRDefault="00BC57E9" w:rsidP="007C4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8C4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</w:tc>
        <w:tc>
          <w:tcPr>
            <w:tcW w:w="3283" w:type="dxa"/>
          </w:tcPr>
          <w:p w:rsidR="00BC57E9" w:rsidRPr="001F48C4" w:rsidRDefault="00BC57E9" w:rsidP="007C4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C4">
              <w:rPr>
                <w:rFonts w:ascii="Times New Roman" w:hAnsi="Times New Roman" w:cs="Times New Roman"/>
                <w:sz w:val="24"/>
                <w:szCs w:val="24"/>
              </w:rPr>
              <w:t>Технические</w:t>
            </w:r>
          </w:p>
        </w:tc>
        <w:tc>
          <w:tcPr>
            <w:tcW w:w="2244" w:type="dxa"/>
          </w:tcPr>
          <w:p w:rsidR="00BC57E9" w:rsidRPr="001F48C4" w:rsidRDefault="00A11818" w:rsidP="00A1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</w:t>
            </w:r>
            <w:r w:rsidR="00BC57E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58" w:type="dxa"/>
          </w:tcPr>
          <w:p w:rsidR="00BC57E9" w:rsidRPr="001F48C4" w:rsidRDefault="00A11818" w:rsidP="00A1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791</w:t>
            </w:r>
            <w:r w:rsidR="00BC57E9" w:rsidRPr="001F48C4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BC57E9" w:rsidRPr="001F48C4" w:rsidTr="00BC57E9">
        <w:trPr>
          <w:trHeight w:val="275"/>
        </w:trPr>
        <w:tc>
          <w:tcPr>
            <w:tcW w:w="706" w:type="dxa"/>
          </w:tcPr>
          <w:p w:rsidR="00BC57E9" w:rsidRPr="001F48C4" w:rsidRDefault="00BC57E9" w:rsidP="007C4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8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88" w:type="dxa"/>
          </w:tcPr>
          <w:p w:rsidR="00BC57E9" w:rsidRPr="001F48C4" w:rsidRDefault="00BC57E9" w:rsidP="007C4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8C4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</w:tc>
        <w:tc>
          <w:tcPr>
            <w:tcW w:w="3283" w:type="dxa"/>
          </w:tcPr>
          <w:p w:rsidR="00BC57E9" w:rsidRPr="001F48C4" w:rsidRDefault="00BC57E9" w:rsidP="007C4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8C4"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</w:p>
        </w:tc>
        <w:tc>
          <w:tcPr>
            <w:tcW w:w="2244" w:type="dxa"/>
          </w:tcPr>
          <w:p w:rsidR="00BC57E9" w:rsidRPr="001F48C4" w:rsidRDefault="00A11818" w:rsidP="00A1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03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C57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8" w:type="dxa"/>
          </w:tcPr>
          <w:p w:rsidR="00BC57E9" w:rsidRPr="001F48C4" w:rsidRDefault="007B03AC" w:rsidP="007B0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C57E9" w:rsidRPr="001F48C4" w:rsidTr="00BC57E9">
        <w:trPr>
          <w:trHeight w:val="1118"/>
        </w:trPr>
        <w:tc>
          <w:tcPr>
            <w:tcW w:w="706" w:type="dxa"/>
          </w:tcPr>
          <w:p w:rsidR="00BC57E9" w:rsidRPr="001F48C4" w:rsidRDefault="00BC57E9" w:rsidP="007C4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8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88" w:type="dxa"/>
          </w:tcPr>
          <w:p w:rsidR="00BC57E9" w:rsidRPr="001F48C4" w:rsidRDefault="00BC57E9" w:rsidP="00BC5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83" w:type="dxa"/>
          </w:tcPr>
          <w:p w:rsidR="00BC57E9" w:rsidRPr="001F48C4" w:rsidRDefault="00BC57E9" w:rsidP="00BC57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</w:p>
        </w:tc>
        <w:tc>
          <w:tcPr>
            <w:tcW w:w="2244" w:type="dxa"/>
          </w:tcPr>
          <w:p w:rsidR="00BC57E9" w:rsidRPr="001F48C4" w:rsidRDefault="00A11818" w:rsidP="00A118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03A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58" w:type="dxa"/>
          </w:tcPr>
          <w:p w:rsidR="00BC57E9" w:rsidRPr="001F48C4" w:rsidRDefault="00CE4971" w:rsidP="00CE49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BC57E9" w:rsidRPr="001F48C4" w:rsidTr="00BC57E9">
        <w:trPr>
          <w:trHeight w:val="275"/>
        </w:trPr>
        <w:tc>
          <w:tcPr>
            <w:tcW w:w="6177" w:type="dxa"/>
            <w:gridSpan w:val="3"/>
          </w:tcPr>
          <w:p w:rsidR="00BC57E9" w:rsidRPr="001F48C4" w:rsidRDefault="00BC57E9" w:rsidP="007C447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8C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244" w:type="dxa"/>
          </w:tcPr>
          <w:p w:rsidR="00BC57E9" w:rsidRPr="001F48C4" w:rsidRDefault="00A11818" w:rsidP="00A11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676</w:t>
            </w:r>
            <w:r w:rsidR="00CE4971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858" w:type="dxa"/>
          </w:tcPr>
          <w:p w:rsidR="00BC57E9" w:rsidRPr="001F48C4" w:rsidRDefault="00A11818" w:rsidP="00A118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791</w:t>
            </w:r>
            <w:r w:rsidR="00BC57E9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</w:tbl>
    <w:p w:rsidR="00BC57E9" w:rsidRPr="00D02F20" w:rsidRDefault="00BC57E9" w:rsidP="00BC57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BF0A5D" w:rsidRDefault="00BF0A5D" w:rsidP="00BF0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</w:pPr>
    </w:p>
    <w:p w:rsidR="00BF0A5D" w:rsidRPr="00BF0A5D" w:rsidRDefault="00BF0A5D" w:rsidP="00BF0A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</w:rPr>
      </w:pPr>
      <w:r w:rsidRPr="009A6A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 xml:space="preserve">Оценка эффективности применения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>технических</w:t>
      </w:r>
      <w:r w:rsidRPr="009A6A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 xml:space="preserve"> налоговых расходов муниципального образования </w:t>
      </w:r>
      <w:proofErr w:type="spellStart"/>
      <w:r w:rsidRPr="009A6A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>Пировский</w:t>
      </w:r>
      <w:proofErr w:type="spellEnd"/>
      <w:r w:rsidRPr="009A6A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>округ</w:t>
      </w:r>
      <w:r w:rsidRPr="009A6A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>.</w:t>
      </w:r>
    </w:p>
    <w:p w:rsidR="00B33287" w:rsidRDefault="00B33287" w:rsidP="00BF0A5D">
      <w:pPr>
        <w:rPr>
          <w:rFonts w:ascii="Times New Roman" w:hAnsi="Times New Roman" w:cs="Times New Roman"/>
          <w:sz w:val="28"/>
          <w:szCs w:val="28"/>
        </w:rPr>
      </w:pPr>
    </w:p>
    <w:p w:rsidR="00E41964" w:rsidRPr="009A6AC7" w:rsidRDefault="00E41964" w:rsidP="00E4196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A6AC7">
        <w:rPr>
          <w:rFonts w:ascii="Times New Roman" w:hAnsi="Times New Roman" w:cs="Times New Roman"/>
          <w:sz w:val="28"/>
          <w:szCs w:val="28"/>
        </w:rPr>
        <w:t>В соответствии с решени</w:t>
      </w:r>
      <w:r w:rsidR="00F11659">
        <w:rPr>
          <w:rFonts w:ascii="Times New Roman" w:hAnsi="Times New Roman" w:cs="Times New Roman"/>
          <w:sz w:val="28"/>
          <w:szCs w:val="28"/>
        </w:rPr>
        <w:t>ем</w:t>
      </w:r>
      <w:r w:rsidRPr="009A6AC7">
        <w:rPr>
          <w:rFonts w:ascii="Times New Roman" w:hAnsi="Times New Roman" w:cs="Times New Roman"/>
          <w:sz w:val="28"/>
          <w:szCs w:val="28"/>
        </w:rPr>
        <w:t xml:space="preserve"> </w:t>
      </w:r>
      <w:r w:rsidR="00F11659">
        <w:rPr>
          <w:rFonts w:ascii="Times New Roman" w:hAnsi="Times New Roman" w:cs="Times New Roman"/>
          <w:sz w:val="28"/>
          <w:szCs w:val="28"/>
        </w:rPr>
        <w:t>окружного Совета депутатов</w:t>
      </w:r>
      <w:r w:rsidRPr="009A6AC7">
        <w:rPr>
          <w:rFonts w:ascii="Times New Roman" w:hAnsi="Times New Roman" w:cs="Times New Roman"/>
          <w:sz w:val="28"/>
          <w:szCs w:val="28"/>
        </w:rPr>
        <w:t xml:space="preserve"> по земельному налогу установлены льготы:</w:t>
      </w:r>
    </w:p>
    <w:p w:rsidR="00E41964" w:rsidRPr="009A6AC7" w:rsidRDefault="00E41964" w:rsidP="00E41964">
      <w:pPr>
        <w:rPr>
          <w:rFonts w:ascii="Times New Roman" w:hAnsi="Times New Roman" w:cs="Times New Roman"/>
          <w:sz w:val="28"/>
          <w:szCs w:val="28"/>
        </w:rPr>
      </w:pPr>
      <w:r w:rsidRPr="009A6AC7">
        <w:rPr>
          <w:rFonts w:ascii="Times New Roman" w:hAnsi="Times New Roman" w:cs="Times New Roman"/>
          <w:sz w:val="28"/>
          <w:szCs w:val="28"/>
        </w:rPr>
        <w:t xml:space="preserve">- органам исполнительной и законодательной власти края, органам местного самоуправления; </w:t>
      </w:r>
    </w:p>
    <w:p w:rsidR="00E41964" w:rsidRPr="009A6AC7" w:rsidRDefault="00E41964" w:rsidP="00E41964">
      <w:pPr>
        <w:rPr>
          <w:rFonts w:ascii="Times New Roman" w:hAnsi="Times New Roman" w:cs="Times New Roman"/>
          <w:sz w:val="28"/>
          <w:szCs w:val="28"/>
        </w:rPr>
      </w:pPr>
      <w:r w:rsidRPr="009A6AC7">
        <w:rPr>
          <w:rFonts w:ascii="Times New Roman" w:hAnsi="Times New Roman" w:cs="Times New Roman"/>
          <w:sz w:val="28"/>
          <w:szCs w:val="28"/>
        </w:rPr>
        <w:t>-бюджетным, казенным и автономным учреждениям, финансируемым из краевого и (или) местного бюджетов.</w:t>
      </w:r>
    </w:p>
    <w:p w:rsidR="00E41964" w:rsidRPr="009A6AC7" w:rsidRDefault="00E41964" w:rsidP="009A6AC7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p w:rsidR="00E41964" w:rsidRPr="00391370" w:rsidRDefault="00E41964" w:rsidP="00391370">
      <w:pPr>
        <w:widowControl w:val="0"/>
        <w:tabs>
          <w:tab w:val="left" w:pos="1354"/>
        </w:tabs>
        <w:spacing w:after="0" w:line="360" w:lineRule="exact"/>
        <w:ind w:right="20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</w:pPr>
      <w:r w:rsidRPr="0039137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 xml:space="preserve">Оценка целесообразности и результативности технического налогового расхода по земельному налогу для учреждений, созданных органами местного самоуправления муниципального образования </w:t>
      </w:r>
      <w:proofErr w:type="spellStart"/>
      <w:r w:rsidRPr="0039137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>Пировский</w:t>
      </w:r>
      <w:proofErr w:type="spellEnd"/>
      <w:r w:rsidRPr="0039137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 xml:space="preserve"> </w:t>
      </w:r>
      <w:r w:rsidR="00BF0A5D" w:rsidRPr="0039137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>округ</w:t>
      </w:r>
      <w:r w:rsidRPr="0039137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eastAsia="ru-RU" w:bidi="ru-RU"/>
        </w:rPr>
        <w:t>.</w:t>
      </w:r>
    </w:p>
    <w:p w:rsidR="00E41964" w:rsidRPr="009A6AC7" w:rsidRDefault="00E41964" w:rsidP="00391370">
      <w:pPr>
        <w:widowControl w:val="0"/>
        <w:spacing w:after="0" w:line="36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Целью применения данного налогового расхода является оптимизация встречных бюджетных финансовых потоков.</w:t>
      </w:r>
      <w:r w:rsidR="003913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Применение данного вида налоговых льгот позволяет снизить бюджетные расходы на финансирование учреждений, созданных органами местного самоуправления муниципального образования </w:t>
      </w:r>
      <w:proofErr w:type="spellStart"/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Пировский</w:t>
      </w:r>
      <w:proofErr w:type="spellEnd"/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район, что способствует высвобождению финансовых ресурсов для достижения целей </w:t>
      </w:r>
      <w:proofErr w:type="spellStart"/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социально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softHyphen/>
        <w:t>экономической</w:t>
      </w:r>
      <w:proofErr w:type="spellEnd"/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политики по развитию муниципального образования .</w:t>
      </w:r>
    </w:p>
    <w:p w:rsidR="00E41964" w:rsidRPr="009A6AC7" w:rsidRDefault="00E41964" w:rsidP="00E41964">
      <w:pPr>
        <w:widowControl w:val="0"/>
        <w:spacing w:after="0" w:line="36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В 202</w:t>
      </w:r>
      <w:r w:rsidR="00CA3F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2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году налоговой льготой воспользовались </w:t>
      </w:r>
      <w:r w:rsidR="00B332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2</w:t>
      </w:r>
      <w:r w:rsidR="00CA3F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3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учреждений - это 100% от общего количества учреждений.</w:t>
      </w:r>
    </w:p>
    <w:p w:rsidR="00E41964" w:rsidRPr="009A6AC7" w:rsidRDefault="00E41964" w:rsidP="00E41964">
      <w:pPr>
        <w:widowControl w:val="0"/>
        <w:spacing w:after="0" w:line="36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Объем снижения расходов бюджета </w:t>
      </w:r>
      <w:proofErr w:type="spellStart"/>
      <w:r w:rsidR="00485E99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Пировского</w:t>
      </w:r>
      <w:r w:rsidR="00B3328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округа</w:t>
      </w:r>
      <w:proofErr w:type="spellEnd"/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на финансовое обеспечение учреждений - плательщиков налогов в 20</w:t>
      </w:r>
      <w:r w:rsidR="00485E99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2</w:t>
      </w:r>
      <w:r w:rsidR="00CA3F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2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году в результате применения налоговой льготы составил </w:t>
      </w:r>
      <w:r w:rsidR="00CA3F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791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тыс. рублей, что на </w:t>
      </w:r>
      <w:r w:rsidR="007921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115</w:t>
      </w:r>
      <w:r w:rsidR="00BF0A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тыс. 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lastRenderedPageBreak/>
        <w:t xml:space="preserve">рублей </w:t>
      </w:r>
      <w:r w:rsidR="007921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больше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, чем за 20</w:t>
      </w:r>
      <w:r w:rsidR="00BF0A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2</w:t>
      </w:r>
      <w:r w:rsidR="007921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1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proofErr w:type="gramStart"/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год.</w:t>
      </w:r>
      <w:r w:rsidR="00BF0A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(</w:t>
      </w:r>
      <w:proofErr w:type="gramEnd"/>
      <w:r w:rsidR="007921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676</w:t>
      </w:r>
      <w:r w:rsidR="00BF0A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,0 тыс. руб.)</w:t>
      </w:r>
    </w:p>
    <w:p w:rsidR="00E41964" w:rsidRPr="009A6AC7" w:rsidRDefault="00E41964" w:rsidP="00E41964">
      <w:pPr>
        <w:widowControl w:val="0"/>
        <w:spacing w:after="0" w:line="36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Объем выпадающих доходов бюджета </w:t>
      </w:r>
      <w:r w:rsidR="00485E99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Пировского </w:t>
      </w:r>
      <w:r w:rsidR="00BF0A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округа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в результате применения данной налоговой льготы по земельному налогу обеспечило снижен</w:t>
      </w:r>
      <w:r w:rsidR="00485E99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ие доли расходов учреждений на </w:t>
      </w:r>
      <w:r w:rsidR="007921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791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тыс. рублей в 20</w:t>
      </w:r>
      <w:r w:rsidR="00485E99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2</w:t>
      </w:r>
      <w:r w:rsidR="007921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2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году и на</w:t>
      </w:r>
      <w:r w:rsidR="0039137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="007921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676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тыс. руб. в 20</w:t>
      </w:r>
      <w:r w:rsidR="00BF0A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2</w:t>
      </w:r>
      <w:r w:rsidR="007921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1</w:t>
      </w:r>
      <w:r w:rsidR="00BF0A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году соответственно.</w:t>
      </w:r>
    </w:p>
    <w:p w:rsidR="00391370" w:rsidRDefault="00391370" w:rsidP="00E41964">
      <w:pPr>
        <w:widowControl w:val="0"/>
        <w:spacing w:after="0" w:line="341" w:lineRule="exact"/>
        <w:ind w:left="20" w:right="2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 xml:space="preserve"> </w:t>
      </w:r>
    </w:p>
    <w:p w:rsidR="00E41964" w:rsidRPr="009A6AC7" w:rsidRDefault="00E41964" w:rsidP="00E41964">
      <w:pPr>
        <w:widowControl w:val="0"/>
        <w:spacing w:after="0" w:line="341" w:lineRule="exact"/>
        <w:ind w:left="20" w:right="20" w:firstLine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>Вывод: поскольку налоговый расход оказывает положительное влияние на социально-экономическое развитие муниципального образования</w:t>
      </w:r>
      <w:r w:rsidR="00485E99" w:rsidRPr="009A6A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 xml:space="preserve"> </w:t>
      </w:r>
      <w:proofErr w:type="spellStart"/>
      <w:r w:rsidR="00485E99" w:rsidRPr="009A6A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>Пировский</w:t>
      </w:r>
      <w:proofErr w:type="spellEnd"/>
      <w:r w:rsidR="00485E99" w:rsidRPr="009A6A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 xml:space="preserve"> </w:t>
      </w:r>
      <w:r w:rsidR="00BF0A5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>округ</w:t>
      </w:r>
      <w:r w:rsidRPr="009A6A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>, способствует устранению встречных финансовых потоков средств местного бюджета, его действие в 20</w:t>
      </w:r>
      <w:r w:rsidR="00485E99" w:rsidRPr="009A6A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>2</w:t>
      </w:r>
      <w:r w:rsidR="0079214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>2</w:t>
      </w:r>
      <w:r w:rsidRPr="009A6A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 xml:space="preserve"> году признано целесообразным и эффективным.</w:t>
      </w:r>
    </w:p>
    <w:p w:rsidR="00391370" w:rsidRDefault="00BF0A5D" w:rsidP="00BD4A5E">
      <w:pPr>
        <w:widowControl w:val="0"/>
        <w:tabs>
          <w:tab w:val="left" w:pos="1513"/>
        </w:tabs>
        <w:spacing w:after="0" w:line="379" w:lineRule="exact"/>
        <w:ind w:right="320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</w:pPr>
      <w:bookmarkStart w:id="2" w:name="bookmark1"/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ab/>
      </w:r>
    </w:p>
    <w:p w:rsidR="00BD4A5E" w:rsidRPr="009A6AC7" w:rsidRDefault="00BD4A5E" w:rsidP="00391370">
      <w:pPr>
        <w:widowControl w:val="0"/>
        <w:tabs>
          <w:tab w:val="left" w:pos="1513"/>
        </w:tabs>
        <w:spacing w:after="0" w:line="379" w:lineRule="exact"/>
        <w:ind w:right="32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 xml:space="preserve">Оценка эффективности применения социальных налоговых расходов муниципального образования </w:t>
      </w:r>
      <w:proofErr w:type="spellStart"/>
      <w:r w:rsidRPr="009A6A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>Пировский</w:t>
      </w:r>
      <w:proofErr w:type="spellEnd"/>
      <w:r w:rsidRPr="009A6A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 xml:space="preserve"> </w:t>
      </w:r>
      <w:r w:rsidR="00BF0A5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>округ</w:t>
      </w:r>
      <w:bookmarkEnd w:id="2"/>
      <w:r w:rsidRPr="009A6A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>.</w:t>
      </w:r>
    </w:p>
    <w:p w:rsidR="00391370" w:rsidRDefault="004F4BBE" w:rsidP="00391370">
      <w:pPr>
        <w:widowControl w:val="0"/>
        <w:spacing w:after="345" w:line="341" w:lineRule="exact"/>
        <w:ind w:right="300"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Общая сумма предоставленных льгот за 202</w:t>
      </w:r>
      <w:r w:rsidR="0079214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2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год составила </w:t>
      </w:r>
      <w:r w:rsidR="00CE49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0,00</w:t>
      </w:r>
      <w:r w:rsidR="002F18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тыс. руб</w:t>
      </w:r>
      <w:r w:rsidR="00CE49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.</w:t>
      </w:r>
      <w:r w:rsidR="002F18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="007112A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Социальные н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алоговые льготы по земельному налогу, налогу на имущество физических </w:t>
      </w:r>
      <w:proofErr w:type="gramStart"/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лиц, </w:t>
      </w:r>
      <w:r w:rsidR="00CE49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не</w:t>
      </w:r>
      <w:proofErr w:type="gramEnd"/>
      <w:r w:rsidR="00CE49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предоставлялись   на местном уровне  в св</w:t>
      </w:r>
      <w:r w:rsidR="007112A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я</w:t>
      </w:r>
      <w:r w:rsidR="00CE49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зи с </w:t>
      </w:r>
      <w:proofErr w:type="spellStart"/>
      <w:r w:rsidR="00CE49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высокодатацио</w:t>
      </w:r>
      <w:r w:rsidR="007112A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нностью</w:t>
      </w:r>
      <w:proofErr w:type="spellEnd"/>
      <w:r w:rsidR="007112A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местного бюджета.</w:t>
      </w:r>
    </w:p>
    <w:p w:rsidR="004F4BBE" w:rsidRPr="00391370" w:rsidRDefault="004F4BBE" w:rsidP="00391370">
      <w:pPr>
        <w:widowControl w:val="0"/>
        <w:spacing w:after="345" w:line="341" w:lineRule="exact"/>
        <w:ind w:right="300" w:firstLine="708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>Вывод:</w:t>
      </w:r>
      <w:r w:rsidRPr="009A6A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ab/>
        <w:t xml:space="preserve">поскольку налоговые расходы носят </w:t>
      </w:r>
      <w:proofErr w:type="gramStart"/>
      <w:r w:rsidR="007112A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 xml:space="preserve">технический </w:t>
      </w:r>
      <w:r w:rsidRPr="009A6A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 xml:space="preserve"> характер</w:t>
      </w:r>
      <w:proofErr w:type="gramEnd"/>
      <w:r w:rsidRPr="009A6A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 xml:space="preserve">, способствуют решению задач </w:t>
      </w:r>
      <w:r w:rsidR="007112A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>бюджетной</w:t>
      </w:r>
      <w:r w:rsidRPr="009A6A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 xml:space="preserve"> политики муниципального образования </w:t>
      </w:r>
      <w:proofErr w:type="spellStart"/>
      <w:r w:rsidR="00972D15" w:rsidRPr="009A6A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>Пировский</w:t>
      </w:r>
      <w:proofErr w:type="spellEnd"/>
      <w:r w:rsidR="00972D15" w:rsidRPr="009A6A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 xml:space="preserve"> муниципальный округ</w:t>
      </w:r>
      <w:r w:rsidRPr="009A6A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 xml:space="preserve">, являются целесообразными, не оказывают отрицательного влияния на экономическое развитие муниципального образования </w:t>
      </w:r>
      <w:proofErr w:type="spellStart"/>
      <w:r w:rsidR="00972D15" w:rsidRPr="009A6A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>Пировский</w:t>
      </w:r>
      <w:proofErr w:type="spellEnd"/>
      <w:r w:rsidR="00972D15" w:rsidRPr="009A6A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 xml:space="preserve"> </w:t>
      </w:r>
      <w:r w:rsidR="002F18A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>округ</w:t>
      </w:r>
      <w:r w:rsidRPr="009A6A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>, их действие в 20</w:t>
      </w:r>
      <w:r w:rsidR="00972D15" w:rsidRPr="009A6A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>2</w:t>
      </w:r>
      <w:r w:rsidR="0079214A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>2</w:t>
      </w:r>
      <w:r w:rsidRPr="009A6AC7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 w:bidi="ru-RU"/>
        </w:rPr>
        <w:t xml:space="preserve"> году признано эффективным.</w:t>
      </w:r>
    </w:p>
    <w:p w:rsidR="00972D15" w:rsidRPr="009A6AC7" w:rsidRDefault="004F4BBE" w:rsidP="00972D15">
      <w:pPr>
        <w:widowControl w:val="0"/>
        <w:spacing w:after="0" w:line="322" w:lineRule="exact"/>
        <w:ind w:left="20" w:right="30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Исходя из результатов проведенной оценки эффективности налоговых расходов муниципального образования </w:t>
      </w:r>
      <w:proofErr w:type="spellStart"/>
      <w:r w:rsidR="00972D15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Пировски</w:t>
      </w:r>
      <w:r w:rsidR="002F18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й</w:t>
      </w:r>
      <w:proofErr w:type="spellEnd"/>
      <w:r w:rsidR="00972D15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ab/>
        <w:t xml:space="preserve"> </w:t>
      </w:r>
      <w:r w:rsidR="002F18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округ</w:t>
      </w:r>
      <w:r w:rsidR="00972D15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,</w:t>
      </w:r>
      <w:r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предоставляемых</w:t>
      </w:r>
      <w:r w:rsidR="00972D15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учреждениям, созданным органами местного самоуправления муниципального образования </w:t>
      </w:r>
      <w:proofErr w:type="spellStart"/>
      <w:r w:rsidR="00972D15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Пировский</w:t>
      </w:r>
      <w:proofErr w:type="spellEnd"/>
      <w:r w:rsidR="00972D15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</w:t>
      </w:r>
      <w:r w:rsidR="002F18A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округ</w:t>
      </w:r>
      <w:r w:rsidR="00972D15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, в виде полного освобождения от уплаты земельного </w:t>
      </w:r>
      <w:proofErr w:type="gramStart"/>
      <w:r w:rsidR="00972D15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>налога,  указанные</w:t>
      </w:r>
      <w:proofErr w:type="gramEnd"/>
      <w:r w:rsidR="00972D15" w:rsidRPr="009A6AC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  <w:t xml:space="preserve"> налоговые расходы признаются эффективными и не требующими отмены.</w:t>
      </w:r>
    </w:p>
    <w:p w:rsidR="00B251AE" w:rsidRPr="009A6AC7" w:rsidRDefault="00B251AE" w:rsidP="00B251AE">
      <w:pPr>
        <w:widowControl w:val="0"/>
        <w:spacing w:after="0" w:line="355" w:lineRule="exact"/>
        <w:ind w:left="10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p w:rsidR="00BD4A5E" w:rsidRPr="009A6AC7" w:rsidRDefault="00BD4A5E" w:rsidP="00BD4A5E">
      <w:pPr>
        <w:widowControl w:val="0"/>
        <w:tabs>
          <w:tab w:val="left" w:pos="1440"/>
        </w:tabs>
        <w:spacing w:after="0" w:line="36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eastAsia="ru-RU" w:bidi="ru-RU"/>
        </w:rPr>
      </w:pPr>
    </w:p>
    <w:p w:rsidR="00BD4A5E" w:rsidRPr="009A6AC7" w:rsidRDefault="00BD4A5E" w:rsidP="00BD4A5E">
      <w:pPr>
        <w:widowControl w:val="0"/>
        <w:tabs>
          <w:tab w:val="left" w:pos="1440"/>
        </w:tabs>
        <w:spacing w:after="0" w:line="360" w:lineRule="exact"/>
        <w:ind w:right="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  <w:lang w:eastAsia="ru-RU" w:bidi="ru-RU"/>
        </w:rPr>
      </w:pPr>
    </w:p>
    <w:p w:rsidR="007C4681" w:rsidRDefault="007C4681" w:rsidP="00727849">
      <w:pPr>
        <w:widowControl w:val="0"/>
        <w:spacing w:after="0" w:line="36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p w:rsidR="00BC57E9" w:rsidRDefault="00BC57E9" w:rsidP="00727849">
      <w:pPr>
        <w:widowControl w:val="0"/>
        <w:spacing w:after="0" w:line="36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p w:rsidR="00BC57E9" w:rsidRDefault="00BC57E9" w:rsidP="00727849">
      <w:pPr>
        <w:widowControl w:val="0"/>
        <w:spacing w:after="0" w:line="36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p w:rsidR="00BC57E9" w:rsidRDefault="00BC57E9" w:rsidP="00727849">
      <w:pPr>
        <w:widowControl w:val="0"/>
        <w:spacing w:after="0" w:line="36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p w:rsidR="00BC57E9" w:rsidRDefault="00BC57E9" w:rsidP="00727849">
      <w:pPr>
        <w:widowControl w:val="0"/>
        <w:spacing w:after="0" w:line="36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p w:rsidR="00BC57E9" w:rsidRDefault="00BC57E9" w:rsidP="00727849">
      <w:pPr>
        <w:widowControl w:val="0"/>
        <w:spacing w:after="0" w:line="360" w:lineRule="exact"/>
        <w:ind w:left="20" w:right="20"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 w:bidi="ru-RU"/>
        </w:rPr>
      </w:pPr>
    </w:p>
    <w:sectPr w:rsidR="00BC57E9" w:rsidSect="00107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30AC"/>
    <w:multiLevelType w:val="multilevel"/>
    <w:tmpl w:val="07A47D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184269"/>
    <w:multiLevelType w:val="multilevel"/>
    <w:tmpl w:val="F4086E20"/>
    <w:lvl w:ilvl="0">
      <w:start w:val="2018"/>
      <w:numFmt w:val="decimal"/>
      <w:lvlText w:val="15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C062DC"/>
    <w:multiLevelType w:val="multilevel"/>
    <w:tmpl w:val="9CFE438A"/>
    <w:lvl w:ilvl="0">
      <w:start w:val="2018"/>
      <w:numFmt w:val="decimal"/>
      <w:lvlText w:val="17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D9363A"/>
    <w:multiLevelType w:val="multilevel"/>
    <w:tmpl w:val="F67A4464"/>
    <w:lvl w:ilvl="0">
      <w:start w:val="2018"/>
      <w:numFmt w:val="decimal"/>
      <w:lvlText w:val="13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06062F"/>
    <w:multiLevelType w:val="multilevel"/>
    <w:tmpl w:val="CA583B4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1E0C51"/>
    <w:multiLevelType w:val="multilevel"/>
    <w:tmpl w:val="60504F7E"/>
    <w:lvl w:ilvl="0">
      <w:start w:val="2018"/>
      <w:numFmt w:val="decimal"/>
      <w:lvlText w:val="19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B14D26"/>
    <w:multiLevelType w:val="multilevel"/>
    <w:tmpl w:val="C9068AFC"/>
    <w:lvl w:ilvl="0">
      <w:start w:val="2018"/>
      <w:numFmt w:val="decimal"/>
      <w:lvlText w:val="30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5D1AF2"/>
    <w:multiLevelType w:val="hybridMultilevel"/>
    <w:tmpl w:val="951023F0"/>
    <w:lvl w:ilvl="0" w:tplc="E6620100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8" w15:restartNumberingAfterBreak="0">
    <w:nsid w:val="45533704"/>
    <w:multiLevelType w:val="multilevel"/>
    <w:tmpl w:val="96B65A56"/>
    <w:lvl w:ilvl="0">
      <w:start w:val="2018"/>
      <w:numFmt w:val="decimal"/>
      <w:lvlText w:val="22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F565C4E"/>
    <w:multiLevelType w:val="multilevel"/>
    <w:tmpl w:val="D4B48102"/>
    <w:lvl w:ilvl="0">
      <w:start w:val="2018"/>
      <w:numFmt w:val="decimal"/>
      <w:lvlText w:val="17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E837F2"/>
    <w:multiLevelType w:val="multilevel"/>
    <w:tmpl w:val="06E4CB9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3F86BBD"/>
    <w:multiLevelType w:val="multilevel"/>
    <w:tmpl w:val="0F907B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8C2297D"/>
    <w:multiLevelType w:val="multilevel"/>
    <w:tmpl w:val="DBF24E1A"/>
    <w:lvl w:ilvl="0">
      <w:start w:val="2018"/>
      <w:numFmt w:val="decimal"/>
      <w:lvlText w:val="17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9385BD1"/>
    <w:multiLevelType w:val="hybridMultilevel"/>
    <w:tmpl w:val="E50ED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01DFE"/>
    <w:multiLevelType w:val="multilevel"/>
    <w:tmpl w:val="87821DC6"/>
    <w:lvl w:ilvl="0">
      <w:start w:val="2018"/>
      <w:numFmt w:val="decimal"/>
      <w:lvlText w:val="13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162710"/>
    <w:multiLevelType w:val="hybridMultilevel"/>
    <w:tmpl w:val="302449C8"/>
    <w:lvl w:ilvl="0" w:tplc="F8660A1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2"/>
  </w:num>
  <w:num w:numId="2">
    <w:abstractNumId w:val="9"/>
  </w:num>
  <w:num w:numId="3">
    <w:abstractNumId w:val="8"/>
  </w:num>
  <w:num w:numId="4">
    <w:abstractNumId w:val="14"/>
  </w:num>
  <w:num w:numId="5">
    <w:abstractNumId w:val="6"/>
  </w:num>
  <w:num w:numId="6">
    <w:abstractNumId w:val="2"/>
  </w:num>
  <w:num w:numId="7">
    <w:abstractNumId w:val="5"/>
  </w:num>
  <w:num w:numId="8">
    <w:abstractNumId w:val="1"/>
  </w:num>
  <w:num w:numId="9">
    <w:abstractNumId w:val="3"/>
  </w:num>
  <w:num w:numId="10">
    <w:abstractNumId w:val="11"/>
  </w:num>
  <w:num w:numId="11">
    <w:abstractNumId w:val="7"/>
  </w:num>
  <w:num w:numId="12">
    <w:abstractNumId w:val="4"/>
  </w:num>
  <w:num w:numId="13">
    <w:abstractNumId w:val="10"/>
  </w:num>
  <w:num w:numId="14">
    <w:abstractNumId w:val="0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C20"/>
    <w:rsid w:val="0000479C"/>
    <w:rsid w:val="0003180C"/>
    <w:rsid w:val="0006215D"/>
    <w:rsid w:val="000A6CD1"/>
    <w:rsid w:val="000D04D6"/>
    <w:rsid w:val="000E5394"/>
    <w:rsid w:val="00107DC6"/>
    <w:rsid w:val="00116F9D"/>
    <w:rsid w:val="00131621"/>
    <w:rsid w:val="00144AD2"/>
    <w:rsid w:val="001517B0"/>
    <w:rsid w:val="00183D27"/>
    <w:rsid w:val="001E0E90"/>
    <w:rsid w:val="001E5AB5"/>
    <w:rsid w:val="002128B2"/>
    <w:rsid w:val="002F18AD"/>
    <w:rsid w:val="00310677"/>
    <w:rsid w:val="003605E6"/>
    <w:rsid w:val="00376D67"/>
    <w:rsid w:val="00391370"/>
    <w:rsid w:val="00397189"/>
    <w:rsid w:val="00401504"/>
    <w:rsid w:val="00445582"/>
    <w:rsid w:val="00485E99"/>
    <w:rsid w:val="004A770E"/>
    <w:rsid w:val="004F4BBE"/>
    <w:rsid w:val="00520F3D"/>
    <w:rsid w:val="0055087A"/>
    <w:rsid w:val="00561032"/>
    <w:rsid w:val="00590956"/>
    <w:rsid w:val="00595096"/>
    <w:rsid w:val="005950EB"/>
    <w:rsid w:val="005B1498"/>
    <w:rsid w:val="005B54E9"/>
    <w:rsid w:val="005E62B4"/>
    <w:rsid w:val="006512B2"/>
    <w:rsid w:val="00664062"/>
    <w:rsid w:val="006A12EB"/>
    <w:rsid w:val="006A4E66"/>
    <w:rsid w:val="007112A2"/>
    <w:rsid w:val="00727849"/>
    <w:rsid w:val="007308AC"/>
    <w:rsid w:val="007350D4"/>
    <w:rsid w:val="0079214A"/>
    <w:rsid w:val="007B03AC"/>
    <w:rsid w:val="007C4681"/>
    <w:rsid w:val="007F5348"/>
    <w:rsid w:val="0085533E"/>
    <w:rsid w:val="008A7C13"/>
    <w:rsid w:val="008E5212"/>
    <w:rsid w:val="009641E3"/>
    <w:rsid w:val="00972D15"/>
    <w:rsid w:val="00976B85"/>
    <w:rsid w:val="00986377"/>
    <w:rsid w:val="009A6AC7"/>
    <w:rsid w:val="009D0B48"/>
    <w:rsid w:val="009E3BD2"/>
    <w:rsid w:val="009F0B9E"/>
    <w:rsid w:val="00A11818"/>
    <w:rsid w:val="00A62C20"/>
    <w:rsid w:val="00A92ABD"/>
    <w:rsid w:val="00AF66F8"/>
    <w:rsid w:val="00B162C7"/>
    <w:rsid w:val="00B251AE"/>
    <w:rsid w:val="00B2674B"/>
    <w:rsid w:val="00B33287"/>
    <w:rsid w:val="00B83006"/>
    <w:rsid w:val="00BB25FF"/>
    <w:rsid w:val="00BC57E9"/>
    <w:rsid w:val="00BD4A5E"/>
    <w:rsid w:val="00BD6552"/>
    <w:rsid w:val="00BE5C17"/>
    <w:rsid w:val="00BF0A5D"/>
    <w:rsid w:val="00C02964"/>
    <w:rsid w:val="00C14A4F"/>
    <w:rsid w:val="00C16B55"/>
    <w:rsid w:val="00C8769E"/>
    <w:rsid w:val="00CA3FE5"/>
    <w:rsid w:val="00CA7AA6"/>
    <w:rsid w:val="00CE4971"/>
    <w:rsid w:val="00D234C0"/>
    <w:rsid w:val="00D6357C"/>
    <w:rsid w:val="00DD7B75"/>
    <w:rsid w:val="00E41964"/>
    <w:rsid w:val="00E822E8"/>
    <w:rsid w:val="00F11659"/>
    <w:rsid w:val="00F31F12"/>
    <w:rsid w:val="00F6051B"/>
    <w:rsid w:val="00F657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40EE5"/>
  <w15:chartTrackingRefBased/>
  <w15:docId w15:val="{B9D1D238-0835-4357-A9D6-14D139C74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4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196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B25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B25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8D2C8-07A8-43AE-836F-1188D9952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</TotalTime>
  <Pages>7</Pages>
  <Words>1502</Words>
  <Characters>8568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</dc:creator>
  <cp:keywords/>
  <dc:description/>
  <cp:lastModifiedBy>Spec</cp:lastModifiedBy>
  <cp:revision>37</cp:revision>
  <cp:lastPrinted>2023-11-01T09:56:00Z</cp:lastPrinted>
  <dcterms:created xsi:type="dcterms:W3CDTF">2022-10-27T09:24:00Z</dcterms:created>
  <dcterms:modified xsi:type="dcterms:W3CDTF">2023-11-01T10:01:00Z</dcterms:modified>
</cp:coreProperties>
</file>